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1D7672" w14:paraId="59220BC7" w14:textId="77777777" w:rsidTr="007E1D85">
        <w:tc>
          <w:tcPr>
            <w:tcW w:w="5211" w:type="dxa"/>
            <w:hideMark/>
          </w:tcPr>
          <w:p w14:paraId="7112B839" w14:textId="77777777" w:rsidR="007E1D85" w:rsidRPr="00A0613E" w:rsidRDefault="007E1D85" w:rsidP="00EE202A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6325139" w14:textId="77777777" w:rsidR="00523D82" w:rsidRPr="001D7672" w:rsidRDefault="00523D82" w:rsidP="00173E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3630075" w14:textId="77777777" w:rsidR="00653617" w:rsidRPr="001D7672" w:rsidRDefault="00523D82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081528A7" w14:textId="77777777" w:rsidR="00523D82" w:rsidRPr="001D7672" w:rsidRDefault="007E702A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C813C4"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2EC53F39" w14:textId="77777777" w:rsidR="00523D82" w:rsidRPr="001D7672" w:rsidRDefault="00523D82" w:rsidP="00173EB9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1D767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1D767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0173C28" w14:textId="77777777" w:rsidR="00523D82" w:rsidRPr="001D7672" w:rsidRDefault="00523D82" w:rsidP="00173EB9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7A7955"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766BAB30" w14:textId="523F73F5" w:rsidR="00523D82" w:rsidRPr="001D7672" w:rsidRDefault="00523D82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A06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A06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07</w:t>
            </w:r>
            <w:proofErr w:type="gramEnd"/>
            <w:r w:rsidR="00A06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A06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</w:t>
            </w:r>
            <w:r w:rsidRPr="001D7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1B93366B" w14:textId="5CD8DB2C" w:rsidR="00523D82" w:rsidRPr="00A0613E" w:rsidRDefault="00523D82" w:rsidP="00173EB9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1D767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A0613E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N087411</w:t>
            </w:r>
          </w:p>
        </w:tc>
        <w:tc>
          <w:tcPr>
            <w:tcW w:w="4536" w:type="dxa"/>
          </w:tcPr>
          <w:p w14:paraId="799B6296" w14:textId="77777777" w:rsidR="00523D82" w:rsidRPr="001D7672" w:rsidRDefault="00D46B0B" w:rsidP="00173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1D767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1D7672" w14:paraId="25F6B51C" w14:textId="77777777" w:rsidTr="00E273C6">
        <w:trPr>
          <w:trHeight w:val="80"/>
        </w:trPr>
        <w:tc>
          <w:tcPr>
            <w:tcW w:w="5211" w:type="dxa"/>
          </w:tcPr>
          <w:p w14:paraId="0A2AB1BB" w14:textId="77777777" w:rsidR="00523D82" w:rsidRPr="001D7672" w:rsidRDefault="00523D82" w:rsidP="00173EB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2F0FDA5" w14:textId="77777777" w:rsidR="00523D82" w:rsidRPr="001D7672" w:rsidRDefault="00523D82" w:rsidP="00173E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23F6AF3" w14:textId="77777777" w:rsidR="00523D82" w:rsidRPr="001D7672" w:rsidRDefault="00523D82" w:rsidP="00173E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48EBBEE" w14:textId="77777777" w:rsidR="00D76048" w:rsidRPr="001D7672" w:rsidRDefault="00D76048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72CC5B3F" w14:textId="77777777" w:rsidR="00D76048" w:rsidRPr="001D7672" w:rsidRDefault="00D76048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24D56C29" w14:textId="77777777" w:rsidR="002C76D7" w:rsidRPr="001D7672" w:rsidRDefault="002C76D7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A32681" w14:textId="77777777" w:rsidR="002C76D7" w:rsidRPr="001D7672" w:rsidRDefault="00D76048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008F2E3" w14:textId="77777777" w:rsidR="00E70D8A" w:rsidRPr="001D7672" w:rsidRDefault="00615251" w:rsidP="00173EB9">
      <w:pPr>
        <w:spacing w:after="0" w:line="240" w:lineRule="auto"/>
        <w:rPr>
          <w:rFonts w:ascii="Times New Roman" w:hAnsi="Times New Roman"/>
          <w:bCs/>
          <w:sz w:val="28"/>
        </w:rPr>
      </w:pPr>
      <w:proofErr w:type="spellStart"/>
      <w:r w:rsidRPr="001D7672">
        <w:rPr>
          <w:rFonts w:ascii="Times New Roman" w:hAnsi="Times New Roman"/>
          <w:bCs/>
          <w:sz w:val="28"/>
        </w:rPr>
        <w:t>Биденза</w:t>
      </w:r>
      <w:proofErr w:type="spellEnd"/>
    </w:p>
    <w:p w14:paraId="025AC802" w14:textId="77777777" w:rsidR="00173EB9" w:rsidRPr="001D7672" w:rsidRDefault="00173EB9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B7AA86" w14:textId="77777777" w:rsidR="002C76D7" w:rsidRPr="001D7672" w:rsidRDefault="00AE7922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7415C08E" w14:textId="77777777" w:rsidR="002C76D7" w:rsidRPr="001D7672" w:rsidRDefault="00E70D8A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>Энзалутамид</w:t>
      </w:r>
      <w:proofErr w:type="spellEnd"/>
      <w:r w:rsidR="004A37F9" w:rsidRPr="001D7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188EB52" w14:textId="77777777" w:rsidR="00E70D8A" w:rsidRPr="001D7672" w:rsidRDefault="00E70D8A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B85345" w14:textId="77777777" w:rsidR="00D76048" w:rsidRPr="001D7672" w:rsidRDefault="002C76D7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465F7DE5" w14:textId="77777777" w:rsidR="00403BB0" w:rsidRPr="001D7672" w:rsidRDefault="00E70D8A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>Капсулы</w:t>
      </w:r>
      <w:r w:rsidR="00403BB0" w:rsidRPr="001D767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03BB0" w:rsidRPr="001D7672">
        <w:rPr>
          <w:rFonts w:ascii="Times New Roman" w:eastAsia="Times New Roman" w:hAnsi="Times New Roman"/>
          <w:sz w:val="28"/>
          <w:szCs w:val="28"/>
          <w:lang w:eastAsia="ru-RU"/>
        </w:rPr>
        <w:t>0 мг</w:t>
      </w:r>
    </w:p>
    <w:p w14:paraId="586D9AEC" w14:textId="77777777" w:rsidR="00F157E6" w:rsidRPr="001D7672" w:rsidRDefault="00F157E6" w:rsidP="00173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</w:pPr>
      <w:bookmarkStart w:id="0" w:name="OCRUncertain022"/>
    </w:p>
    <w:p w14:paraId="7FDD3CAD" w14:textId="77777777" w:rsidR="002C1660" w:rsidRPr="001D7672" w:rsidRDefault="00AE7922" w:rsidP="00173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1D767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1D767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656DBD18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7672">
        <w:rPr>
          <w:rFonts w:ascii="Times New Roman" w:hAnsi="Times New Roman"/>
          <w:sz w:val="28"/>
          <w:szCs w:val="28"/>
        </w:rPr>
        <w:t>Антинеопластические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и иммуномодулирующие препараты. Эндокринная терапия. Гормонов антагонисты и их аналоги. </w:t>
      </w:r>
      <w:proofErr w:type="spellStart"/>
      <w:r w:rsidRPr="001D7672">
        <w:rPr>
          <w:rFonts w:ascii="Times New Roman" w:hAnsi="Times New Roman"/>
          <w:sz w:val="28"/>
          <w:szCs w:val="28"/>
        </w:rPr>
        <w:t>Антиандрогены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D7672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. </w:t>
      </w:r>
    </w:p>
    <w:p w14:paraId="3DFC327C" w14:textId="77777777" w:rsidR="00173EB9" w:rsidRPr="001D7672" w:rsidRDefault="00E70D8A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Код АТХ </w:t>
      </w:r>
      <w:r w:rsidRPr="001D7672">
        <w:rPr>
          <w:rFonts w:ascii="Times New Roman" w:hAnsi="Times New Roman"/>
          <w:sz w:val="28"/>
          <w:szCs w:val="28"/>
          <w:lang w:val="en-US"/>
        </w:rPr>
        <w:t>L</w:t>
      </w:r>
      <w:r w:rsidRPr="001D7672">
        <w:rPr>
          <w:rFonts w:ascii="Times New Roman" w:hAnsi="Times New Roman"/>
          <w:sz w:val="28"/>
          <w:szCs w:val="28"/>
        </w:rPr>
        <w:t>02</w:t>
      </w:r>
      <w:r w:rsidRPr="001D7672">
        <w:rPr>
          <w:rFonts w:ascii="Times New Roman" w:hAnsi="Times New Roman"/>
          <w:sz w:val="28"/>
          <w:szCs w:val="28"/>
          <w:lang w:val="en-US"/>
        </w:rPr>
        <w:t>BB</w:t>
      </w:r>
      <w:r w:rsidRPr="001D7672">
        <w:rPr>
          <w:rFonts w:ascii="Times New Roman" w:hAnsi="Times New Roman"/>
          <w:sz w:val="28"/>
          <w:szCs w:val="28"/>
        </w:rPr>
        <w:t>04</w:t>
      </w:r>
    </w:p>
    <w:p w14:paraId="0F29A70D" w14:textId="77777777" w:rsidR="00173EB9" w:rsidRPr="001D7672" w:rsidRDefault="00173EB9" w:rsidP="00173EB9">
      <w:pPr>
        <w:pStyle w:val="ac"/>
        <w:rPr>
          <w:rFonts w:ascii="Times New Roman" w:hAnsi="Times New Roman"/>
          <w:sz w:val="28"/>
          <w:szCs w:val="28"/>
        </w:rPr>
      </w:pPr>
    </w:p>
    <w:p w14:paraId="4BFA55B2" w14:textId="77777777" w:rsidR="002C76D7" w:rsidRPr="001D7672" w:rsidRDefault="005444B2" w:rsidP="00173EB9">
      <w:pPr>
        <w:pStyle w:val="ac"/>
        <w:rPr>
          <w:rFonts w:ascii="Times New Roman" w:hAnsi="Times New Roman"/>
          <w:color w:val="000000"/>
          <w:sz w:val="32"/>
          <w:szCs w:val="32"/>
        </w:rPr>
      </w:pPr>
      <w:r w:rsidRPr="001D76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1D7672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5DB65B7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4BF6">
        <w:rPr>
          <w:rFonts w:ascii="Times New Roman" w:hAnsi="Times New Roman"/>
          <w:bCs/>
          <w:sz w:val="28"/>
          <w:szCs w:val="28"/>
        </w:rPr>
        <w:t xml:space="preserve">- в качестве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монотерапии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или в сочетании с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терапией для лечения взрослых мужчин с биохимическим рецидивирующим (БКР) (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неметастатическим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гормоночувствительным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раком предстательной железы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нмГЧРП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>) высокого риска, которым не подходит восстановительная лучевая терапия;</w:t>
      </w:r>
    </w:p>
    <w:p w14:paraId="37DEC65B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4BF6">
        <w:rPr>
          <w:rFonts w:ascii="Times New Roman" w:hAnsi="Times New Roman"/>
          <w:bCs/>
          <w:sz w:val="28"/>
          <w:szCs w:val="28"/>
        </w:rPr>
        <w:t>- при лечении взрослых мужчин с метастатическим гормон чувствительным раком простаты (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мГЧРП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) в сочетании с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терапией;</w:t>
      </w:r>
    </w:p>
    <w:p w14:paraId="786C75C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4BF6">
        <w:rPr>
          <w:rFonts w:ascii="Times New Roman" w:hAnsi="Times New Roman"/>
          <w:bCs/>
          <w:sz w:val="28"/>
          <w:szCs w:val="28"/>
        </w:rPr>
        <w:t xml:space="preserve">- лечение взрослых мужчин с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неметастатическим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кастрационно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>-резистентным раком предстательной железы (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нмКРРПЖ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>) с высоким риском прогрессирования;</w:t>
      </w:r>
    </w:p>
    <w:p w14:paraId="73EE9879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BF6">
        <w:rPr>
          <w:rFonts w:ascii="Times New Roman" w:hAnsi="Times New Roman"/>
          <w:sz w:val="28"/>
          <w:szCs w:val="28"/>
        </w:rPr>
        <w:t xml:space="preserve">- лечение метастатического </w:t>
      </w:r>
      <w:proofErr w:type="spellStart"/>
      <w:r w:rsidRPr="003F4BF6">
        <w:rPr>
          <w:rFonts w:ascii="Times New Roman" w:hAnsi="Times New Roman"/>
          <w:sz w:val="28"/>
          <w:szCs w:val="28"/>
        </w:rPr>
        <w:t>кастрационно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-резистентного рака предстательной железы у пациентов без симптомов или с умеренными симптомами с прогрессированием на фоне </w:t>
      </w:r>
      <w:proofErr w:type="spellStart"/>
      <w:r w:rsidRPr="003F4BF6">
        <w:rPr>
          <w:rFonts w:ascii="Times New Roman" w:hAnsi="Times New Roman"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 терапии при отсутствии клинических показаний к химиотерапии;</w:t>
      </w:r>
    </w:p>
    <w:p w14:paraId="235C43AF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4BF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F4BF6">
        <w:rPr>
          <w:rFonts w:ascii="Times New Roman" w:hAnsi="Times New Roman"/>
          <w:bCs/>
          <w:sz w:val="28"/>
          <w:szCs w:val="28"/>
        </w:rPr>
        <w:t xml:space="preserve">лечение у взрослых мужчин метастатического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кастрационно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 xml:space="preserve">-резистентного рака предстательной железы, прогрессирующего во время или после химиотерапии, включающей </w:t>
      </w:r>
      <w:proofErr w:type="spellStart"/>
      <w:r w:rsidRPr="003F4BF6">
        <w:rPr>
          <w:rFonts w:ascii="Times New Roman" w:hAnsi="Times New Roman"/>
          <w:bCs/>
          <w:sz w:val="28"/>
          <w:szCs w:val="28"/>
        </w:rPr>
        <w:t>доцетаксел</w:t>
      </w:r>
      <w:proofErr w:type="spellEnd"/>
      <w:r w:rsidRPr="003F4BF6">
        <w:rPr>
          <w:rFonts w:ascii="Times New Roman" w:hAnsi="Times New Roman"/>
          <w:bCs/>
          <w:sz w:val="28"/>
          <w:szCs w:val="28"/>
        </w:rPr>
        <w:t>.</w:t>
      </w:r>
    </w:p>
    <w:p w14:paraId="259D4F71" w14:textId="77777777" w:rsidR="008F26F4" w:rsidRPr="001D7672" w:rsidRDefault="008F26F4" w:rsidP="00940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D64BD" w14:textId="77777777" w:rsidR="00DB406A" w:rsidRPr="001D7672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7A0E7375" w14:textId="77777777" w:rsidR="007D0E84" w:rsidRPr="001D7672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77056AD" w14:textId="77777777" w:rsidR="00940A78" w:rsidRPr="001D7672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гиперчувствительность к действующему веществу (веществам) или к любому из вспомогательных веществ, перечисленных в разделе «состав»</w:t>
      </w:r>
    </w:p>
    <w:p w14:paraId="4BB9F866" w14:textId="77777777" w:rsidR="00940A78" w:rsidRPr="001D7672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беременные женщины или женщины, планирующие беременность</w:t>
      </w:r>
    </w:p>
    <w:p w14:paraId="387B3AD2" w14:textId="77777777" w:rsidR="00940A78" w:rsidRPr="001D7672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детский и подростковый возраст до 18 лет (из-за наличия красителя в составе капсул)</w:t>
      </w:r>
    </w:p>
    <w:p w14:paraId="6A8C54FE" w14:textId="77777777" w:rsidR="00DD5DA4" w:rsidRPr="001D7672" w:rsidRDefault="00DD5DA4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D7672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</w:t>
      </w:r>
    </w:p>
    <w:p w14:paraId="24A571C9" w14:textId="77777777" w:rsidR="00EC7101" w:rsidRPr="001D7672" w:rsidRDefault="00E16FD5" w:rsidP="00B0682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Лечение </w:t>
      </w:r>
      <w:proofErr w:type="spellStart"/>
      <w:r w:rsidRPr="001D7672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должно начинаться и контролироваться специалистами, имеющими опыт медикаментозного лечения рака предстательной железы</w:t>
      </w:r>
    </w:p>
    <w:p w14:paraId="7A0AF9DE" w14:textId="77777777" w:rsidR="007D0E84" w:rsidRPr="001D7672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1220AF4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Потенциальное влияние других лекарственных препаратов на действие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</w:p>
    <w:p w14:paraId="0AF1644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Ингибиторы CYP2C8</w:t>
      </w:r>
    </w:p>
    <w:p w14:paraId="699FD83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Фермент CYP2C8 играет важную роль в элиминации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в формировании его активного метаболита. После перорального приема сильного ингибитора CYP2C8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гемфиброзила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(600 мг дважды в день) здоровыми субъектами мужского пола средняя А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326%, тогда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уменьшилась на 18%. Для суммы несвязанного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несвязанного активного метаболита, А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 увеличилась на 77%, в то время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снизилась на 19%. Во время лечения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следует избегать приема сильных ингибиторов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гемфиброзил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фермента CYP2C8, или использовать их с осторожностью. Если пациентам необходимо совместно применять сильный ингибитор CYP2C8, дозу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следует снизить до 80 мг один раз в день.</w:t>
      </w:r>
    </w:p>
    <w:p w14:paraId="3435D40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Ингибиторы CYP3A4</w:t>
      </w:r>
    </w:p>
    <w:p w14:paraId="1014C10E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Фермент CYP3A4 играет незначительную роль в метаболизме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После приема сильного ингибитора фермента CYP3A4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итраконазола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(200 мг один раз в день) здоровыми добровольцами мужского пола, AUC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41%, в то время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изменилась. Для суммы несвязанного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несвязанного активного метаболита, AUC увеличилась на 27%, тогда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снова осталась без изменений. При совместном применении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Бидензы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ингибиторами или индукторами CYP3A4 коррекция дозы не требуется.</w:t>
      </w:r>
    </w:p>
    <w:p w14:paraId="073EF0C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Индукторы фермента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8 и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A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4</w:t>
      </w:r>
    </w:p>
    <w:p w14:paraId="14A6FE9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После перорального приема среднего индуктора фермента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и сильного индуктора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4,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рифампина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(600 мг один раз в день)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здоровыми мужчинами,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вместе с активным метаболитом снижалась на 37%, в то время как показатель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val="en-US"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менялась. При назначении препарата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одновременно с индукторами фермента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и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 корректировка дозы не требуется.</w:t>
      </w:r>
    </w:p>
    <w:p w14:paraId="6580F47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Потенциальное влияние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на действие других лекарственных препаратов </w:t>
      </w:r>
    </w:p>
    <w:p w14:paraId="1F2E5EE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Индукция ферментов</w:t>
      </w:r>
    </w:p>
    <w:p w14:paraId="50FAB0AF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 мощным индуктором ферментов и повышает синтез многих ферментов и переносчиков, поэтому он взаимодействует со многими обычными лекарственными средствами, которые являются субстратами ферментов или переносчиками. Снижение концентрации в плазме может быть существенным и вести к потере или уменьшению клинического эффекта. Существует также риск роста образования активных метаболитов. К ферментам, образование которых может быть индуцировано, относятся CYP3A в печени и кишечнике, CYP2В6, CYP2C9, CYP2C19 и уридин-5'-дифосфат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глюкуронозилтрансфераза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UGTs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ферменты, конъюгирующие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глюкурониды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 Также возможна индукция некоторых переносчиков, а также, например, белка множественной лекарственной резистентности 2 (MRP2) и органического анион-транспортирующего полипептида 1B1 (OATP1B1).</w:t>
      </w:r>
    </w:p>
    <w:p w14:paraId="3C59065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Исследования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in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vivo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показывают, что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 сильным индуктором CYP3A4 и умеренным индуктором CYP2C9 и CYP2C19. Совместное применение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с однократными пероральными дозами чувствительных субстратов CYP у больных раком предстательной железы привело к 86%-ному снижению AUC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мидазолама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(субстрат CYP3A4), 56%-ному снижению AUC S-варфарина (субстрат CYP2C9) и 70%-ному снижению AUC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омепразола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(субстрата CYP2C19). Также возможна индукция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UGT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1. Существуют данные, что у пациентов с метастатическим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кастрационно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-резистентным раком предстательной железы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не оказывал клинически значимого эффекта на фармакокинетику внутривенно введенного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доцетаксела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(75 мг/м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методом инфузии один раз в 3 недели). AUC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доцетаксела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снизилась на 12% [среднее геометрическое отношение = 0,882 (90% ДИ: 0,767, 1,02], в то время как показатель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val="en-US"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снизился на 4% [среднее геометрическое отношение = 0,963 (90% ДИ: 0,834, 1,11].</w:t>
      </w:r>
    </w:p>
    <w:p w14:paraId="3E54E623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Также препарат взаимодействует с определенными лекарственными средствами, которые элиминируются в процессе метаболизма или активного транспорта. Если их терапевтический эффект имеет большое значение для пациента и коррекцию дозы на основе контроля эффективности или концентрации в плазме сделать не так просто, приема этих лекарственных средств следует избегать или использовать их с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осторожностью. Предполагается, что, риск повреждения печени после приема парацетамола выше у пациентов, которые одновременно принимали индукторы ферментов. </w:t>
      </w:r>
    </w:p>
    <w:p w14:paraId="5A0D9ED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группе лекарственных средств, которые могут взаимодействовать с препаратом, относятся, не ограничиваясь:</w:t>
      </w:r>
    </w:p>
    <w:p w14:paraId="5793549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анальгетики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фентанил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трамадол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A208DA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антибиотики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кларитромицин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доксициклин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5DE6277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противоопухолевые агенты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кабазитаксел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6185C39F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антиэпилептики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карбамазепин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клоназепам, фенитоин,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примидон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вальпроевая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кислота)</w:t>
      </w:r>
    </w:p>
    <w:p w14:paraId="63AE831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нейролептики (например, галоперидол)</w:t>
      </w:r>
    </w:p>
    <w:p w14:paraId="38E85C3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антикоагулянты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аценокумарол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варфарин,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клопидогрел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52615F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бета-блокаторы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бисопролол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пропранолол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6125DE8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блокаторы кальциевых каналов (например, дилтиазем,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фелодипин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никардипин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нифедипин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верапамил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04D7B30C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сердечные гликозиды (например, дигоксин)</w:t>
      </w:r>
    </w:p>
    <w:p w14:paraId="61FC957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кортикостероиды (например, дексаметазон, преднизолон)</w:t>
      </w:r>
    </w:p>
    <w:p w14:paraId="31FE183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антивирусные препараты для лечения ВИЧ-инфекции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индинавир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ритонавир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7BF31193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снотворные средства (например, диазепам,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мидазолам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золпидем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36F62552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иммунодепрессант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такролимус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1C028A7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ингибитор протонной помпы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омепразол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2885C7C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статины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метаболизируемые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участием фермента CYP3A4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аторвастатин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симвастатин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2F4CDB28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тиреоидные средства (например,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левотироксин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32804F2B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Все индукционные возможности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могут проявиться приблизительно через 1 месяц после начала лечения, после достижения равновесной плазменной концентрации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хотя некоторые индукционные эффекты могут стать заметными и раньше. У пациентов, принимающих лекарственные препараты, которые являются субстратами ферментов CYP2В6, CYP3A4, CYP2C9, CYP2C19 или UGT1A1, следует оценивать возможное снижение фармакологического воздействия (или увеличение воздействия в случае образования активных метаболитов) в течение первого месяца лечения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соответствующим образом корректировать дозу. Учитывая длительный период полувыведения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(5,8 суток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влияние на образование ферментов может сохраняться в течение одного месяца и более после прекращения применения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При прекращении лечения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потребоваться постепенное снижение дозы сопутствующих лекарственных средств.</w:t>
      </w:r>
    </w:p>
    <w:p w14:paraId="7F6A02F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Субстраты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1А2 и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8</w:t>
      </w:r>
    </w:p>
    <w:p w14:paraId="21003EC8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не вызывает клинически значимых изменений в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кофеина (субстрата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1А2) или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пиоглитазона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(субстрат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8).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пиоглитазона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20%, в то время,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снизилась на 18 %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.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кофеина уменьшились на 11% и 4% соответственно.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Если субстрат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1А2 или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применяют совместно 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корректировка дозы не требуется.</w:t>
      </w:r>
    </w:p>
    <w:p w14:paraId="2175471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Субстраты P-гликопротеина</w:t>
      </w:r>
    </w:p>
    <w:p w14:paraId="2B35EFD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Данные исследований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показывают, что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быть ингибитором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эффлюксного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переносчика P-гликопротеина. </w:t>
      </w:r>
      <w:bookmarkStart w:id="1" w:name="_Hlk113982701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Умеренное ингибирующее действие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условиях стационара на P-гликопротеин наблюдалось в исследовании у пациентов с раком предстательной железы, получавших однократную пероральную дозу субстрата P-гликопротеина дигоксина до и одновременно 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(одновременное введение сопровождалось по меньшей мере 55 дней с однократным ежедневным приемом 160 мг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). AUC и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дигоксина увеличились на 33% и 17% соответственно. Лекарственные средства с узким терапевтическим диапазоном, которые являются субстратами для P-гликопротеина (например колхицин, дабигатрана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этексилат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дигоксин) следует применять с осторожностью при одновременном применении 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может потребоваться коррекция дозы для поддержания оптимальной концентрации в плазме крови. </w:t>
      </w:r>
      <w:bookmarkEnd w:id="1"/>
    </w:p>
    <w:p w14:paraId="4F3DD4F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Субстраты белков резистентности рака молочной железы (BCRP), белков множественной лекарственной резистентности 2 (MRP2), переносчика органических анионов человека 3 типа (OAT3) и переносчика органических катионов человека 1 (OCT1)</w:t>
      </w:r>
    </w:p>
    <w:p w14:paraId="121F7F0B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" w:name="_Hlk113982758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стационарных условиях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вызывал клинически значимых изменений воздействия на субстрат белка резистентности к раку молочной железы (BCRP)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пациентов с раком предстательной железы, которые получали однократную пероральную дозу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 и одновременно 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(одновременное применение в течение по крайней мере 55 дней с частотой приема один раз в день в дозе 160 мг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). AUC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снизилась на 14%, в то время как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6%. При одновременном применении субстрата BCRP с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коррекция дозы не требуется. </w:t>
      </w:r>
    </w:p>
    <w:p w14:paraId="5D5979C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Основываясь на данных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нельзя исключать ингибирования MRP2 (в кишечнике), а также переносчика органических анионов 3 (OAT3) и переносчика органических катионов 1 (OCT1) (системно). Теоретически индукция этих переносчиков также возможна и конечный эффект в настоящее время неизвестен.</w:t>
      </w:r>
    </w:p>
    <w:bookmarkEnd w:id="2"/>
    <w:p w14:paraId="4CA18449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Лекарственные препараты, приводящие к удлинению интервала </w:t>
      </w: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QT</w:t>
      </w:r>
    </w:p>
    <w:p w14:paraId="6B5CB8D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Ввиду того, что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андрогендепривационная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терапия может приводить к удлинению интервала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QT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следует проводить тщательную оценку одновременного приема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с: лекарственными средствами, которые удлиняют интервал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QT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; или лекарственными средствами, которые могут привести к трепетанию/мерцанию желудочков, например,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антиаритмические препараты группы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Ia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хинидин,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дизопирамид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или группы 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III</w:t>
      </w:r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амиодарон,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соталол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дофетилид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ибутилид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), а также метадон, </w:t>
      </w:r>
      <w:proofErr w:type="spellStart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моксифлоксацин</w:t>
      </w:r>
      <w:proofErr w:type="spellEnd"/>
      <w:r w:rsidRPr="003F4B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нейролептики и т.д. </w:t>
      </w:r>
    </w:p>
    <w:p w14:paraId="5F2AEAA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Влияние пищи на воздействие </w:t>
      </w:r>
      <w:proofErr w:type="spellStart"/>
      <w:r w:rsidRPr="003F4BF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</w:p>
    <w:p w14:paraId="0C795334" w14:textId="77777777" w:rsidR="003F4BF6" w:rsidRPr="003F4BF6" w:rsidRDefault="003F4BF6" w:rsidP="00173EB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</w:pPr>
      <w:r w:rsidRPr="003F4BF6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Прием пищи не оказывает клинически значимого влияния на степень воздействия энзалутамида. Бидензу можно применять независимо от приема пищи.</w:t>
      </w:r>
    </w:p>
    <w:p w14:paraId="2579A465" w14:textId="77777777" w:rsidR="00D43297" w:rsidRPr="001D7672" w:rsidRDefault="00D43297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46A47A8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Риск развития судорог</w:t>
      </w:r>
    </w:p>
    <w:p w14:paraId="2EFC691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Применение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было связано со случаями развития судорог. Решение о продолжении лечения у пациентов, у которых развивается приступ, следует рассматривать в каждом конкретном случае.</w:t>
      </w:r>
    </w:p>
    <w:p w14:paraId="2458D3C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Синдром задней обратимой энцефалопатии</w:t>
      </w:r>
    </w:p>
    <w:p w14:paraId="7EC232A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В ходе применения пациентами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были зарегистрированы редкие сообщения о развитии синдрома задней обратимой энцефалопатии (PRES). Синдром задней обратимой энцефалопатии – это редкое обратимое неврологическое заболевание, которое может характеризоваться быстро развивающимися симптомами, такими как судороги, головная боль, спутанность сознания, слепота и другие зрительные и неврологические расстройства, сопровождаемые или несопровождаемые гипертензией. Диагноз синдром задней обратимой энцефалопатии должен быть подтвержден результатами томографии головного мозга, лучше всего результатами МРТ. Рекомендуется прекратить прием препарата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Биденза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при подтвержденном диагнозе.</w:t>
      </w:r>
    </w:p>
    <w:p w14:paraId="7B1DAF3E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Вторичный эпизод первичного злокачественного новообразования</w:t>
      </w:r>
    </w:p>
    <w:p w14:paraId="3CD8CC7E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В ходе клинических исследований сообщалось о случаях вторичного эпизода первичных злокачественных новообразований у пациентов, получавших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. В клинических исследованиях 3 фазы наиболее частыми случаями, о которых сообщалось у пациентов, получавших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>, и чаще, чем плацебо, являлись рак мочевого пузыря (0,3%), аденокарцинома толстой кишки (0,2%), переходно-клеточный рак (0,2%) и злокачественная меланома (0,2%).</w:t>
      </w:r>
    </w:p>
    <w:p w14:paraId="6429D80F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Пациентам следует незамедлительно обратиться к врачу, если во время лечения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они замечают признаки желудочно-кишечного кровотечения, макроскопическую гематурию или другие симптомы, такие как дизурия или позывы к мочеиспусканию.</w:t>
      </w:r>
    </w:p>
    <w:p w14:paraId="3452B2EF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F4BF6">
        <w:rPr>
          <w:rFonts w:ascii="Times New Roman" w:hAnsi="Times New Roman"/>
          <w:bCs/>
          <w:i/>
          <w:iCs/>
          <w:sz w:val="28"/>
          <w:szCs w:val="28"/>
        </w:rPr>
        <w:t>Одновременное применение с другими лекарственными средствами</w:t>
      </w:r>
    </w:p>
    <w:p w14:paraId="63A73B7C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 является мощным индуктором ферментов и может привести к снижению эффективности многих часто используемых лекарственных средств. Поэтому, начиная лечение </w:t>
      </w: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Бидензой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, необходимо провести анализ сопутствующих лекарственных средств. </w:t>
      </w:r>
    </w:p>
    <w:p w14:paraId="21A1FAE3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Следует избегать одновременного применения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с лекарственными средствами, которые являются чувствительными </w:t>
      </w:r>
      <w:r w:rsidRPr="003F4BF6">
        <w:rPr>
          <w:rFonts w:ascii="Times New Roman" w:hAnsi="Times New Roman"/>
          <w:iCs/>
          <w:sz w:val="28"/>
          <w:szCs w:val="28"/>
        </w:rPr>
        <w:lastRenderedPageBreak/>
        <w:t>субстратами многих ферментов или переносчиков, если их терапевтическое воздействие имеет большое значение для пациента, а также если на основании контроля эффективности и концентрации в плазме невозможно скорректировать дозу.</w:t>
      </w:r>
    </w:p>
    <w:p w14:paraId="5E228D1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Следует избегать одновременного применения с варфарином и кумарин-подобными антикоагулянтами. Если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используется совместно с антикоагулянтом, который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метаболизируется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ферментом CYP2C9 (например, варфарин или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аценокумарол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>), требуется дополнительный контроль международного нормализованного отношения (МНО).</w:t>
      </w:r>
    </w:p>
    <w:p w14:paraId="6E8B6EC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Почечная недостаточность</w:t>
      </w:r>
    </w:p>
    <w:p w14:paraId="76262780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С осторожностью следует назначать пациентам с тяжелой почечной недостаточностью, так как действие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 этой группе пациентов не изучено.</w:t>
      </w:r>
    </w:p>
    <w:p w14:paraId="30C65DE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 xml:space="preserve">Тяжелая печеночная недостаточность </w:t>
      </w:r>
    </w:p>
    <w:p w14:paraId="450D18E5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>Увеличение периода полувыведения лекарственного средства наблюдается у пациентов с тяжелой печеночной недостаточностью, что возможно связано с увеличением распределения в тканях. Клиническая значимость этого наблюдения остается неизвестной. Тем не менее может потребоваться длительное время для достижения стабильных концентраций, и может быть увеличено время до достижения максимального фармакологического эффекта, а также время до начала и снижения индукции ферментов.</w:t>
      </w:r>
    </w:p>
    <w:p w14:paraId="2280E8F4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Недавно перенесенные сердечно-сосудистые заболевания</w:t>
      </w:r>
    </w:p>
    <w:p w14:paraId="4675915C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Известно, что в исследования III фазы не были включены пациенты, которые недавно перенесли инфаркт миокарда (в течение последних 6 месяцев) или страдают нестабильной стенокардией (в течение последних 3 месяцев), сердечной недостаточностью класса III или IV по шкале Нью-Йоркской кардиологической ассоциации (NYHA) за исключением пациентов с фракцией выброса левого желудочка (ФВЛЖ) более 45%, брадикардией или неконтролируемой артериальной гипертензией. Это необходимо принять во внимание при назначении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таким пациентам.</w:t>
      </w:r>
    </w:p>
    <w:p w14:paraId="27566385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Андрогендепривационная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 xml:space="preserve"> терапия может приводить к удлинению интервала </w:t>
      </w:r>
      <w:r w:rsidRPr="003F4BF6">
        <w:rPr>
          <w:rFonts w:ascii="Times New Roman" w:hAnsi="Times New Roman"/>
          <w:i/>
          <w:iCs/>
          <w:sz w:val="28"/>
          <w:szCs w:val="28"/>
          <w:lang w:val="en-US"/>
        </w:rPr>
        <w:t>QT</w:t>
      </w:r>
      <w:r w:rsidRPr="003F4BF6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834AAC7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Перед началом терапии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врач оценивает соотношения риска и пользы с учетом вероятности трепетания/мерцания желудочков у пациентов с наличием в анамнезе случаев удлинения интервала </w:t>
      </w:r>
      <w:r w:rsidRPr="003F4BF6">
        <w:rPr>
          <w:rFonts w:ascii="Times New Roman" w:hAnsi="Times New Roman"/>
          <w:iCs/>
          <w:sz w:val="28"/>
          <w:szCs w:val="28"/>
          <w:lang w:val="en-US"/>
        </w:rPr>
        <w:t>QT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F4BF6">
        <w:rPr>
          <w:rFonts w:ascii="Times New Roman" w:hAnsi="Times New Roman"/>
          <w:iCs/>
          <w:sz w:val="28"/>
          <w:szCs w:val="28"/>
        </w:rPr>
        <w:t xml:space="preserve">или факторов риска его возникновения, а также у пациентов, получающих комплексную терапию, включающую препараты, которые могут приводить к удлинению интервала </w:t>
      </w:r>
      <w:r w:rsidRPr="003F4BF6">
        <w:rPr>
          <w:rFonts w:ascii="Times New Roman" w:hAnsi="Times New Roman"/>
          <w:iCs/>
          <w:sz w:val="28"/>
          <w:szCs w:val="28"/>
          <w:lang w:val="en-US"/>
        </w:rPr>
        <w:t>QT</w:t>
      </w:r>
      <w:r w:rsidRPr="003F4BF6">
        <w:rPr>
          <w:rFonts w:ascii="Times New Roman" w:hAnsi="Times New Roman"/>
          <w:iCs/>
          <w:sz w:val="28"/>
          <w:szCs w:val="28"/>
        </w:rPr>
        <w:t xml:space="preserve">. </w:t>
      </w:r>
    </w:p>
    <w:p w14:paraId="5788566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Применение во время курса химиотерапии</w:t>
      </w:r>
    </w:p>
    <w:p w14:paraId="2466A906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Безопасность и эффективность одновременного применения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во время курса цитотоксической химиотерапии не установлена. </w:t>
      </w:r>
      <w:r w:rsidRPr="003F4BF6">
        <w:rPr>
          <w:rFonts w:ascii="Times New Roman" w:hAnsi="Times New Roman"/>
          <w:iCs/>
          <w:sz w:val="28"/>
          <w:szCs w:val="28"/>
        </w:rPr>
        <w:lastRenderedPageBreak/>
        <w:t xml:space="preserve">Одновременный прием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не оказывает клинически значимого эффекта на фармакокинетику внутривенно введенного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доцетаксела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; тем не менее, нельзя исключать увеличение частоты развития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нейтропении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, вызванной приемом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доцетаксела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. </w:t>
      </w:r>
      <w:bookmarkStart w:id="3" w:name="_Hlk118274489"/>
    </w:p>
    <w:p w14:paraId="116F003B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Тяжелые кожные реакции</w:t>
      </w:r>
    </w:p>
    <w:p w14:paraId="6A68A1FC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При лечении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сообщалось о тяжелых кожных побочных реакциях (ТКПР), включая синдром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Стивенса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>-Джонсона, который может быть опасен для жизни или привести к летальному исходу.</w:t>
      </w:r>
    </w:p>
    <w:p w14:paraId="4B1B367C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>Во время назначения препарата пациенты должны быть проинформированы о признаках и симптомах кожных реакций, а также пройти тщательный мониторинг на предмет их развития.</w:t>
      </w:r>
    </w:p>
    <w:p w14:paraId="6E060923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При появлении признаков и симптомов, указывающих на эту реакцию,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следует немедленно отменить и рассмотреть возможность применения альтернативного лечения (при необходимости).</w:t>
      </w:r>
    </w:p>
    <w:p w14:paraId="7899789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 xml:space="preserve">Реакции гиперчувствительности </w:t>
      </w:r>
    </w:p>
    <w:p w14:paraId="32B49393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При применении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наблюдались аллергические реакции, которые проявлялись симптомами, включая, но не ограничиваясь, сыпь, отек лица, языка, губ или глотки. </w:t>
      </w:r>
    </w:p>
    <w:p w14:paraId="548E29F8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Биденза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3"/>
      <w:r w:rsidRPr="003F4BF6">
        <w:rPr>
          <w:rFonts w:ascii="Times New Roman" w:hAnsi="Times New Roman"/>
          <w:i/>
          <w:iCs/>
          <w:sz w:val="28"/>
          <w:szCs w:val="28"/>
        </w:rPr>
        <w:t xml:space="preserve">в качестве </w:t>
      </w: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монотерапии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 xml:space="preserve"> у пациентов с биохимическим рецидивирующим (БКР) </w:t>
      </w: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неметастатическим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гормоночувствительным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 xml:space="preserve"> раком простаты (</w:t>
      </w:r>
      <w:proofErr w:type="spellStart"/>
      <w:r w:rsidRPr="003F4BF6">
        <w:rPr>
          <w:rFonts w:ascii="Times New Roman" w:hAnsi="Times New Roman"/>
          <w:i/>
          <w:iCs/>
          <w:sz w:val="28"/>
          <w:szCs w:val="28"/>
        </w:rPr>
        <w:t>нмГЧРП</w:t>
      </w:r>
      <w:proofErr w:type="spellEnd"/>
      <w:r w:rsidRPr="003F4BF6">
        <w:rPr>
          <w:rFonts w:ascii="Times New Roman" w:hAnsi="Times New Roman"/>
          <w:i/>
          <w:iCs/>
          <w:sz w:val="28"/>
          <w:szCs w:val="28"/>
        </w:rPr>
        <w:t>) высокого риска</w:t>
      </w:r>
    </w:p>
    <w:p w14:paraId="6CECF871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Результаты исследования EMBARK показывают, что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и в сочетании с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терапией не является эквивалентным вариантом лечения у пациентов с биохимическим рецидивирующим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неметастатическим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гормоночувствительным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раком простаты высокого риска.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терапией считается предпочтительным вариантом лечения, за исключением случаев, когда добавление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терапии может привести к неприемлемой токсичности или риску. </w:t>
      </w:r>
    </w:p>
    <w:p w14:paraId="5A03EFB9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Вспомогательные вещества</w:t>
      </w:r>
    </w:p>
    <w:p w14:paraId="641082F7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Биденза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содержит лактозу. Пациенты с </w:t>
      </w:r>
      <w:r w:rsidRPr="003F4BF6">
        <w:rPr>
          <w:rFonts w:ascii="Times New Roman" w:hAnsi="Times New Roman"/>
          <w:bCs/>
          <w:iCs/>
          <w:sz w:val="28"/>
          <w:szCs w:val="28"/>
        </w:rPr>
        <w:t xml:space="preserve">наследственной непереносимостью галактозы, дефицитом фермента </w:t>
      </w: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Lapp-лактазы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мальабсорбции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 глюкозы-галактозы </w:t>
      </w:r>
      <w:r w:rsidRPr="003F4BF6">
        <w:rPr>
          <w:rFonts w:ascii="Times New Roman" w:hAnsi="Times New Roman"/>
          <w:iCs/>
          <w:sz w:val="28"/>
          <w:szCs w:val="28"/>
        </w:rPr>
        <w:t>не должны принимать этот лекарственный препарат.</w:t>
      </w:r>
    </w:p>
    <w:p w14:paraId="687D3A1C" w14:textId="77777777" w:rsidR="003F4BF6" w:rsidRDefault="003F4BF6" w:rsidP="00B0682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Данный лекарственный препарат содержит в одной </w:t>
      </w:r>
      <w:r w:rsidR="00AC5942">
        <w:rPr>
          <w:rFonts w:ascii="Times New Roman" w:hAnsi="Times New Roman"/>
          <w:iCs/>
          <w:sz w:val="28"/>
          <w:szCs w:val="28"/>
        </w:rPr>
        <w:t>капсуле</w:t>
      </w:r>
      <w:r w:rsidRPr="003F4BF6">
        <w:rPr>
          <w:rFonts w:ascii="Times New Roman" w:hAnsi="Times New Roman"/>
          <w:iCs/>
          <w:sz w:val="28"/>
          <w:szCs w:val="28"/>
        </w:rPr>
        <w:t xml:space="preserve"> натрия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лаурилсульфат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>, и общее содержание натрия в разовой дозе препарата в количестве менее 1 ммоль (23 мг), т.е. «практически не содержит натрия». С осторожностью назначать лицам, соблюдающим бессолевую диету.</w:t>
      </w:r>
    </w:p>
    <w:p w14:paraId="272B3218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F4BF6">
        <w:rPr>
          <w:rFonts w:ascii="Times New Roman" w:hAnsi="Times New Roman"/>
          <w:i/>
          <w:iCs/>
          <w:sz w:val="28"/>
          <w:szCs w:val="28"/>
        </w:rPr>
        <w:t>Женщины с детородным потенциалом</w:t>
      </w:r>
    </w:p>
    <w:p w14:paraId="3F2D881A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4BF6">
        <w:rPr>
          <w:rFonts w:ascii="Times New Roman" w:hAnsi="Times New Roman"/>
          <w:iCs/>
          <w:sz w:val="28"/>
          <w:szCs w:val="28"/>
        </w:rPr>
        <w:t xml:space="preserve">Нет никаких данных о применении </w:t>
      </w:r>
      <w:proofErr w:type="spellStart"/>
      <w:r w:rsidRPr="003F4BF6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iCs/>
          <w:sz w:val="28"/>
          <w:szCs w:val="28"/>
        </w:rPr>
        <w:t xml:space="preserve"> во время беременности, этот лекарственный препарат не предназначен для применения у женщин детородного возраста, так как может причинить вред нерожденному </w:t>
      </w:r>
      <w:r w:rsidRPr="003F4BF6">
        <w:rPr>
          <w:rFonts w:ascii="Times New Roman" w:hAnsi="Times New Roman"/>
          <w:iCs/>
          <w:sz w:val="28"/>
          <w:szCs w:val="28"/>
        </w:rPr>
        <w:lastRenderedPageBreak/>
        <w:t>ребенку или потенциальную потерю беременности, если его принимают беременные женщины.</w:t>
      </w:r>
    </w:p>
    <w:p w14:paraId="50CB2EED" w14:textId="77777777" w:rsidR="003F4BF6" w:rsidRPr="003F4BF6" w:rsidRDefault="003F4BF6" w:rsidP="003F4BF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F4BF6">
        <w:rPr>
          <w:rFonts w:ascii="Times New Roman" w:hAnsi="Times New Roman"/>
          <w:bCs/>
          <w:i/>
          <w:iCs/>
          <w:sz w:val="28"/>
          <w:szCs w:val="28"/>
        </w:rPr>
        <w:t>Контрацепция для мужчин и женщин</w:t>
      </w:r>
    </w:p>
    <w:p w14:paraId="1DD42001" w14:textId="77777777" w:rsidR="003F4BF6" w:rsidRPr="003F4BF6" w:rsidRDefault="003F4BF6" w:rsidP="00B0682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F4BF6">
        <w:rPr>
          <w:rFonts w:ascii="Times New Roman" w:hAnsi="Times New Roman"/>
          <w:bCs/>
          <w:iCs/>
          <w:sz w:val="28"/>
          <w:szCs w:val="28"/>
        </w:rPr>
        <w:t xml:space="preserve">Нет данных, присутствует ли </w:t>
      </w: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энзалутамид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 или его метаболиты в сперме. Если пациент имеет сексуальный контакт с беременной женщиной, </w:t>
      </w:r>
      <w:proofErr w:type="gramStart"/>
      <w:r w:rsidRPr="003F4BF6">
        <w:rPr>
          <w:rFonts w:ascii="Times New Roman" w:hAnsi="Times New Roman"/>
          <w:bCs/>
          <w:iCs/>
          <w:sz w:val="28"/>
          <w:szCs w:val="28"/>
        </w:rPr>
        <w:t>во время</w:t>
      </w:r>
      <w:proofErr w:type="gramEnd"/>
      <w:r w:rsidRPr="003F4BF6">
        <w:rPr>
          <w:rFonts w:ascii="Times New Roman" w:hAnsi="Times New Roman"/>
          <w:bCs/>
          <w:iCs/>
          <w:sz w:val="28"/>
          <w:szCs w:val="28"/>
        </w:rPr>
        <w:t xml:space="preserve"> и в течение 3 месяцев после лечения </w:t>
      </w:r>
      <w:proofErr w:type="spellStart"/>
      <w:r w:rsidRPr="003F4BF6">
        <w:rPr>
          <w:rFonts w:ascii="Times New Roman" w:hAnsi="Times New Roman"/>
          <w:bCs/>
          <w:iCs/>
          <w:sz w:val="28"/>
          <w:szCs w:val="28"/>
        </w:rPr>
        <w:t>энзалутамидом</w:t>
      </w:r>
      <w:proofErr w:type="spellEnd"/>
      <w:r w:rsidRPr="003F4BF6">
        <w:rPr>
          <w:rFonts w:ascii="Times New Roman" w:hAnsi="Times New Roman"/>
          <w:bCs/>
          <w:iCs/>
          <w:sz w:val="28"/>
          <w:szCs w:val="28"/>
        </w:rPr>
        <w:t xml:space="preserve">, требуется использование презерватива. Если пациент имеет </w:t>
      </w:r>
      <w:r w:rsidRPr="003F4BF6">
        <w:rPr>
          <w:rFonts w:ascii="Times New Roman" w:hAnsi="Times New Roman"/>
          <w:iCs/>
          <w:sz w:val="28"/>
          <w:szCs w:val="28"/>
          <w:lang w:val="kk-KZ"/>
        </w:rPr>
        <w:t xml:space="preserve">сексуальный </w:t>
      </w:r>
      <w:r w:rsidRPr="003F4BF6">
        <w:rPr>
          <w:rFonts w:ascii="Times New Roman" w:hAnsi="Times New Roman"/>
          <w:bCs/>
          <w:iCs/>
          <w:sz w:val="28"/>
          <w:szCs w:val="28"/>
        </w:rPr>
        <w:t xml:space="preserve">контакт с женщиной детородного возраста, </w:t>
      </w:r>
      <w:r w:rsidRPr="003F4BF6">
        <w:rPr>
          <w:rFonts w:ascii="Times New Roman" w:hAnsi="Times New Roman"/>
          <w:iCs/>
          <w:sz w:val="28"/>
          <w:szCs w:val="28"/>
          <w:lang w:val="kk-KZ"/>
        </w:rPr>
        <w:t>необходимо использовать презерватив наряду с другими эффективными методами контрацепции</w:t>
      </w:r>
      <w:r w:rsidRPr="003F4BF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3F4BF6">
        <w:rPr>
          <w:rFonts w:ascii="Times New Roman" w:hAnsi="Times New Roman"/>
          <w:bCs/>
          <w:iCs/>
          <w:sz w:val="28"/>
          <w:szCs w:val="28"/>
        </w:rPr>
        <w:t>во время</w:t>
      </w:r>
      <w:proofErr w:type="gramEnd"/>
      <w:r w:rsidRPr="003F4BF6">
        <w:rPr>
          <w:rFonts w:ascii="Times New Roman" w:hAnsi="Times New Roman"/>
          <w:bCs/>
          <w:iCs/>
          <w:sz w:val="28"/>
          <w:szCs w:val="28"/>
        </w:rPr>
        <w:t xml:space="preserve"> и в течение 3 месяцев после лечения. Исследования на животных показали репродуктивную токсичность препарата.</w:t>
      </w:r>
    </w:p>
    <w:p w14:paraId="6DDC7B09" w14:textId="77777777" w:rsidR="00B06829" w:rsidRPr="001D7672" w:rsidRDefault="00F52DBE" w:rsidP="00B068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E68FCB5" w14:textId="77777777" w:rsidR="003F4BF6" w:rsidRDefault="003F4BF6" w:rsidP="00173EB9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3F4BF6">
        <w:rPr>
          <w:rFonts w:ascii="Times New Roman" w:hAnsi="Times New Roman"/>
          <w:sz w:val="28"/>
          <w:szCs w:val="28"/>
          <w:lang w:val="kk-KZ"/>
        </w:rPr>
        <w:t>Биденза не предназначена к применению у женщин. Энзалутамид противопоказан у женщин, которые беременны или могут быть беременны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3F4BF6">
        <w:rPr>
          <w:rFonts w:ascii="Times New Roman" w:hAnsi="Times New Roman"/>
          <w:sz w:val="28"/>
          <w:szCs w:val="28"/>
          <w:lang w:val="kk-KZ"/>
        </w:rPr>
        <w:t>Не известно, присутствует ли энзалутамид в материнском молоке. Энзалутамид и/или его метаболиты секретируются в молоке крысы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CB39015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D7672">
        <w:rPr>
          <w:rFonts w:ascii="Times New Roman" w:hAnsi="Times New Roman"/>
          <w:i/>
          <w:sz w:val="28"/>
          <w:szCs w:val="28"/>
          <w:lang w:val="kk-KZ"/>
        </w:rPr>
        <w:t>Способность к зачатию</w:t>
      </w:r>
    </w:p>
    <w:p w14:paraId="6FAB57C8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1D7672">
        <w:rPr>
          <w:rFonts w:ascii="Times New Roman" w:hAnsi="Times New Roman"/>
          <w:sz w:val="28"/>
          <w:szCs w:val="28"/>
          <w:lang w:val="kk-KZ"/>
        </w:rPr>
        <w:t xml:space="preserve">Исследования показали, что энзалутамид оказывает воздействие на репродуктивную систему. </w:t>
      </w:r>
    </w:p>
    <w:p w14:paraId="1B5391EA" w14:textId="77777777" w:rsidR="00FA4F7C" w:rsidRPr="001D7672" w:rsidRDefault="00FA4F7C" w:rsidP="00173E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70117407" w14:textId="77777777" w:rsidR="00E70D8A" w:rsidRPr="001D7672" w:rsidRDefault="00EF79D6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7672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="00E70D8A" w:rsidRPr="001D7672">
        <w:rPr>
          <w:rFonts w:ascii="Times New Roman" w:hAnsi="Times New Roman"/>
          <w:sz w:val="28"/>
          <w:szCs w:val="28"/>
        </w:rPr>
        <w:t xml:space="preserve"> может иметь умеренное влияние на способность управлять автомобилем и работать с механизмами, так как были зарегистрированы психические и неврологические нарушения, включая судороги. Пациенты должны быть предупреждены о потенциальном риске возникновения психических и неврологических нарушений при вождении или эксплуатации механизмов. Исследований с целью определения воздействия применения </w:t>
      </w:r>
      <w:proofErr w:type="spellStart"/>
      <w:r w:rsidR="00E70D8A" w:rsidRPr="001D7672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="00E70D8A" w:rsidRPr="001D7672">
        <w:rPr>
          <w:rFonts w:ascii="Times New Roman" w:hAnsi="Times New Roman"/>
          <w:sz w:val="28"/>
          <w:szCs w:val="28"/>
        </w:rPr>
        <w:t xml:space="preserve"> на способность управлять автомобилем и работать с механизмами не проводилось.</w:t>
      </w:r>
    </w:p>
    <w:p w14:paraId="689D2F52" w14:textId="77777777" w:rsidR="007D0E84" w:rsidRPr="001D7672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2D4383" w14:textId="77777777" w:rsidR="00DB406A" w:rsidRPr="001D7672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7083F9EA" w14:textId="77777777" w:rsidR="00E70D8A" w:rsidRPr="001D7672" w:rsidRDefault="00E70D8A" w:rsidP="00173EB9">
      <w:pPr>
        <w:pStyle w:val="ac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4" w:name="2175220274"/>
      <w:r w:rsidRPr="001D7672">
        <w:rPr>
          <w:rFonts w:ascii="Times New Roman" w:hAnsi="Times New Roman"/>
          <w:sz w:val="28"/>
          <w:szCs w:val="28"/>
        </w:rPr>
        <w:t xml:space="preserve">Лечение </w:t>
      </w:r>
      <w:proofErr w:type="spellStart"/>
      <w:r w:rsidRPr="001D7672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должно начинаться и контролироваться специалистами, имеющими опыт медикаментозного лечения рака предстательной железы</w:t>
      </w: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21773A2" w14:textId="77777777" w:rsidR="005C4B12" w:rsidRPr="001D7672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8BBB770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5" w:name="2175220275"/>
      <w:bookmarkEnd w:id="4"/>
      <w:r w:rsidRPr="001D7672">
        <w:rPr>
          <w:rFonts w:ascii="Times New Roman" w:hAnsi="Times New Roman"/>
          <w:sz w:val="28"/>
          <w:szCs w:val="28"/>
        </w:rPr>
        <w:t xml:space="preserve">Рекомендуемая суточная доза </w:t>
      </w:r>
      <w:proofErr w:type="spellStart"/>
      <w:r w:rsidR="002270A6" w:rsidRPr="001D7672">
        <w:rPr>
          <w:rFonts w:ascii="Times New Roman" w:hAnsi="Times New Roman"/>
          <w:sz w:val="28"/>
          <w:szCs w:val="28"/>
        </w:rPr>
        <w:t>Бидензы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составляет 160 мг (четыре капсулы по 40 мг) 1 раз в день. </w:t>
      </w:r>
    </w:p>
    <w:p w14:paraId="44791642" w14:textId="77777777" w:rsidR="005C4B12" w:rsidRPr="001D7672" w:rsidRDefault="00DB406A" w:rsidP="00173EB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1D7672">
        <w:rPr>
          <w:rFonts w:ascii="Times New Roman" w:hAnsi="Times New Roman"/>
          <w:i/>
          <w:color w:val="000000"/>
          <w:sz w:val="24"/>
        </w:rPr>
        <w:t xml:space="preserve"> </w:t>
      </w:r>
    </w:p>
    <w:p w14:paraId="7457C242" w14:textId="77777777" w:rsidR="00E70D8A" w:rsidRPr="001D7672" w:rsidRDefault="002270A6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6" w:name="2175220277"/>
      <w:bookmarkEnd w:id="5"/>
      <w:proofErr w:type="spellStart"/>
      <w:r w:rsidRPr="001D7672">
        <w:rPr>
          <w:rFonts w:ascii="Times New Roman" w:hAnsi="Times New Roman"/>
          <w:sz w:val="28"/>
          <w:szCs w:val="28"/>
        </w:rPr>
        <w:t>Биденза</w:t>
      </w:r>
      <w:proofErr w:type="spellEnd"/>
      <w:r w:rsidR="00E70D8A" w:rsidRPr="001D7672">
        <w:rPr>
          <w:rFonts w:ascii="Times New Roman" w:hAnsi="Times New Roman"/>
          <w:sz w:val="28"/>
          <w:szCs w:val="28"/>
        </w:rPr>
        <w:t xml:space="preserve"> предназначе</w:t>
      </w:r>
      <w:r w:rsidR="00173EB9" w:rsidRPr="001D7672">
        <w:rPr>
          <w:rFonts w:ascii="Times New Roman" w:hAnsi="Times New Roman"/>
          <w:sz w:val="28"/>
          <w:szCs w:val="28"/>
        </w:rPr>
        <w:t>н</w:t>
      </w:r>
      <w:r w:rsidR="00441B50" w:rsidRPr="001D7672">
        <w:rPr>
          <w:rFonts w:ascii="Times New Roman" w:hAnsi="Times New Roman"/>
          <w:sz w:val="28"/>
          <w:szCs w:val="28"/>
        </w:rPr>
        <w:t>а</w:t>
      </w:r>
      <w:r w:rsidR="00173EB9" w:rsidRPr="001D7672">
        <w:rPr>
          <w:rFonts w:ascii="Times New Roman" w:hAnsi="Times New Roman"/>
          <w:sz w:val="28"/>
          <w:szCs w:val="28"/>
        </w:rPr>
        <w:t xml:space="preserve"> для перорального применения. </w:t>
      </w:r>
      <w:r w:rsidR="00E70D8A" w:rsidRPr="001D7672">
        <w:rPr>
          <w:rFonts w:ascii="Times New Roman" w:hAnsi="Times New Roman"/>
          <w:sz w:val="28"/>
          <w:szCs w:val="28"/>
        </w:rPr>
        <w:t>Капсулы не следует разжевывать, растворять или открывать, их следует проглатывать целиком, запивая водой, их можно принимать независимо от приема пищи.</w:t>
      </w:r>
    </w:p>
    <w:p w14:paraId="65C44779" w14:textId="77777777" w:rsidR="00E70D8A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7" w:name="2175220282"/>
      <w:bookmarkEnd w:id="6"/>
      <w:r w:rsidRPr="001D7672">
        <w:rPr>
          <w:rFonts w:ascii="Times New Roman" w:hAnsi="Times New Roman"/>
          <w:sz w:val="28"/>
          <w:szCs w:val="28"/>
        </w:rPr>
        <w:lastRenderedPageBreak/>
        <w:t xml:space="preserve">Медикаментозная кастрация с использованием аналога ЛГРГ должна быть продолжена во время лечения у пациентов, не прошедших хирургическую кастрацию. </w:t>
      </w:r>
    </w:p>
    <w:p w14:paraId="35F6E392" w14:textId="77777777" w:rsidR="003F4BF6" w:rsidRPr="001D7672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F4BF6">
        <w:rPr>
          <w:rFonts w:ascii="Times New Roman" w:hAnsi="Times New Roman"/>
          <w:sz w:val="28"/>
          <w:szCs w:val="28"/>
        </w:rPr>
        <w:t xml:space="preserve">Во время лечения пациентов с </w:t>
      </w:r>
      <w:proofErr w:type="spellStart"/>
      <w:r w:rsidRPr="003F4BF6">
        <w:rPr>
          <w:rFonts w:ascii="Times New Roman" w:hAnsi="Times New Roman"/>
          <w:sz w:val="28"/>
          <w:szCs w:val="28"/>
        </w:rPr>
        <w:t>кастрационно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-резистентным раком предстательной железы или метастатическим гормон чувствительным раком простаты, не подвергшихся хирургической кастрации, следует продолжать медикаментозную кастрацию с помощью аналога </w:t>
      </w:r>
      <w:proofErr w:type="spellStart"/>
      <w:r w:rsidRPr="003F4BF6">
        <w:rPr>
          <w:rFonts w:ascii="Times New Roman" w:hAnsi="Times New Roman"/>
          <w:sz w:val="28"/>
          <w:szCs w:val="28"/>
        </w:rPr>
        <w:t>лютеинизирующего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 гормона </w:t>
      </w:r>
      <w:proofErr w:type="spellStart"/>
      <w:r w:rsidRPr="003F4BF6">
        <w:rPr>
          <w:rFonts w:ascii="Times New Roman" w:hAnsi="Times New Roman"/>
          <w:sz w:val="28"/>
          <w:szCs w:val="28"/>
        </w:rPr>
        <w:t>рилизинг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 гормона ЛГРГ.</w:t>
      </w:r>
    </w:p>
    <w:p w14:paraId="5B85201E" w14:textId="77777777" w:rsidR="00633EE7" w:rsidRPr="00633EE7" w:rsidRDefault="00633EE7" w:rsidP="00173EB9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3EE7">
        <w:rPr>
          <w:rFonts w:ascii="Times New Roman" w:hAnsi="Times New Roman"/>
          <w:b/>
          <w:bCs/>
          <w:i/>
          <w:iCs/>
          <w:sz w:val="28"/>
          <w:szCs w:val="28"/>
        </w:rPr>
        <w:t>Длительность лечения</w:t>
      </w:r>
    </w:p>
    <w:p w14:paraId="1D2E1510" w14:textId="77777777" w:rsidR="00633EE7" w:rsidRPr="00633EE7" w:rsidRDefault="00633EE7" w:rsidP="00633EE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633EE7">
        <w:rPr>
          <w:rFonts w:ascii="Times New Roman" w:hAnsi="Times New Roman"/>
          <w:sz w:val="28"/>
          <w:szCs w:val="28"/>
        </w:rPr>
        <w:t xml:space="preserve">Пациенты с биохимическим рецидивирующим </w:t>
      </w:r>
      <w:proofErr w:type="spellStart"/>
      <w:r w:rsidRPr="00633EE7">
        <w:rPr>
          <w:rFonts w:ascii="Times New Roman" w:hAnsi="Times New Roman"/>
          <w:sz w:val="28"/>
          <w:szCs w:val="28"/>
        </w:rPr>
        <w:t>неметастатическим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EE7">
        <w:rPr>
          <w:rFonts w:ascii="Times New Roman" w:hAnsi="Times New Roman"/>
          <w:sz w:val="28"/>
          <w:szCs w:val="28"/>
        </w:rPr>
        <w:t>гормоночувствительным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 раком простаты высокого риска можно лечить препаратом </w:t>
      </w:r>
      <w:proofErr w:type="spellStart"/>
      <w:r w:rsidRPr="00633EE7">
        <w:rPr>
          <w:rFonts w:ascii="Times New Roman" w:hAnsi="Times New Roman"/>
          <w:sz w:val="28"/>
          <w:szCs w:val="28"/>
        </w:rPr>
        <w:t>Биденза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 с аналогом ЛГРГ или без него. Для пациентов, которые получают </w:t>
      </w:r>
      <w:proofErr w:type="spellStart"/>
      <w:r w:rsidRPr="00633EE7">
        <w:rPr>
          <w:rFonts w:ascii="Times New Roman" w:hAnsi="Times New Roman"/>
          <w:sz w:val="28"/>
          <w:szCs w:val="28"/>
        </w:rPr>
        <w:t>Бидензу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 с аналогом ЛГРГ или без него, лечение можно приостановить, если уровень ПСА не определяется (&lt;0,2 </w:t>
      </w:r>
      <w:proofErr w:type="spellStart"/>
      <w:r w:rsidRPr="00633EE7">
        <w:rPr>
          <w:rFonts w:ascii="Times New Roman" w:hAnsi="Times New Roman"/>
          <w:sz w:val="28"/>
          <w:szCs w:val="28"/>
        </w:rPr>
        <w:t>нг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/мл) после 36 недель терапии. Лечение следует возобновить, когда уровень ПСА повысится до ≥ 2,0 </w:t>
      </w:r>
      <w:proofErr w:type="spellStart"/>
      <w:r w:rsidRPr="00633EE7">
        <w:rPr>
          <w:rFonts w:ascii="Times New Roman" w:hAnsi="Times New Roman"/>
          <w:sz w:val="28"/>
          <w:szCs w:val="28"/>
        </w:rPr>
        <w:t>нг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/мл у пациентов, ранее перенесших радикальную </w:t>
      </w:r>
      <w:proofErr w:type="spellStart"/>
      <w:r w:rsidRPr="00633EE7">
        <w:rPr>
          <w:rFonts w:ascii="Times New Roman" w:hAnsi="Times New Roman"/>
          <w:sz w:val="28"/>
          <w:szCs w:val="28"/>
        </w:rPr>
        <w:t>простатэктомию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, или до ≥ 5,0 </w:t>
      </w:r>
      <w:proofErr w:type="spellStart"/>
      <w:r w:rsidRPr="00633EE7">
        <w:rPr>
          <w:rFonts w:ascii="Times New Roman" w:hAnsi="Times New Roman"/>
          <w:sz w:val="28"/>
          <w:szCs w:val="28"/>
        </w:rPr>
        <w:t>нг</w:t>
      </w:r>
      <w:proofErr w:type="spellEnd"/>
      <w:r w:rsidRPr="00633EE7">
        <w:rPr>
          <w:rFonts w:ascii="Times New Roman" w:hAnsi="Times New Roman"/>
          <w:sz w:val="28"/>
          <w:szCs w:val="28"/>
        </w:rPr>
        <w:t xml:space="preserve">/мл у пациентов, ранее проходивших первичную лучевую терапию. Если через 36 недель терапии обнаруживается уровень ПСА (≥ 0,2 </w:t>
      </w:r>
      <w:proofErr w:type="spellStart"/>
      <w:r w:rsidRPr="00633EE7">
        <w:rPr>
          <w:rFonts w:ascii="Times New Roman" w:hAnsi="Times New Roman"/>
          <w:sz w:val="28"/>
          <w:szCs w:val="28"/>
        </w:rPr>
        <w:t>нг</w:t>
      </w:r>
      <w:proofErr w:type="spellEnd"/>
      <w:r w:rsidRPr="00633EE7">
        <w:rPr>
          <w:rFonts w:ascii="Times New Roman" w:hAnsi="Times New Roman"/>
          <w:sz w:val="28"/>
          <w:szCs w:val="28"/>
        </w:rPr>
        <w:t>/мл), лечение следует продолжить.</w:t>
      </w:r>
    </w:p>
    <w:p w14:paraId="0BEACB73" w14:textId="77777777" w:rsidR="0084633D" w:rsidRPr="001D7672" w:rsidRDefault="0084633D" w:rsidP="008463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8" w:name="2175220278"/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1D7672">
        <w:rPr>
          <w:rFonts w:ascii="Times New Roman" w:hAnsi="Times New Roman"/>
          <w:i/>
          <w:sz w:val="24"/>
        </w:rPr>
        <w:t xml:space="preserve"> </w:t>
      </w:r>
    </w:p>
    <w:bookmarkEnd w:id="8"/>
    <w:p w14:paraId="498BBCF0" w14:textId="77777777" w:rsidR="0084633D" w:rsidRPr="001D7672" w:rsidRDefault="0084633D" w:rsidP="008463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672">
        <w:rPr>
          <w:rFonts w:ascii="Times New Roman" w:hAnsi="Times New Roman"/>
          <w:i/>
          <w:iCs/>
          <w:color w:val="000000"/>
          <w:sz w:val="28"/>
          <w:szCs w:val="28"/>
        </w:rPr>
        <w:t>Симптомы:</w:t>
      </w:r>
      <w:r w:rsidRPr="001D7672">
        <w:rPr>
          <w:rFonts w:ascii="Times New Roman" w:hAnsi="Times New Roman"/>
          <w:color w:val="000000"/>
          <w:sz w:val="28"/>
          <w:szCs w:val="28"/>
        </w:rPr>
        <w:t xml:space="preserve"> повышенный риск возникновения судорог.</w:t>
      </w:r>
    </w:p>
    <w:p w14:paraId="10DC2BF1" w14:textId="77777777" w:rsidR="001F5C6A" w:rsidRPr="001D7672" w:rsidRDefault="0084633D" w:rsidP="006960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672">
        <w:rPr>
          <w:rFonts w:ascii="Times New Roman" w:hAnsi="Times New Roman"/>
          <w:color w:val="000000"/>
          <w:sz w:val="28"/>
          <w:szCs w:val="28"/>
        </w:rPr>
        <w:t xml:space="preserve">Лечение: </w:t>
      </w:r>
      <w:r w:rsidR="001F5C6A" w:rsidRPr="001D7672">
        <w:rPr>
          <w:rFonts w:ascii="Times New Roman" w:hAnsi="Times New Roman"/>
          <w:color w:val="000000"/>
          <w:sz w:val="28"/>
          <w:szCs w:val="28"/>
        </w:rPr>
        <w:t xml:space="preserve">Антидот для применения при передозировке </w:t>
      </w:r>
      <w:proofErr w:type="spellStart"/>
      <w:r w:rsidR="001F5C6A" w:rsidRPr="001D7672">
        <w:rPr>
          <w:rFonts w:ascii="Times New Roman" w:hAnsi="Times New Roman"/>
          <w:color w:val="000000"/>
          <w:sz w:val="28"/>
          <w:szCs w:val="28"/>
        </w:rPr>
        <w:t>энзалутамида</w:t>
      </w:r>
      <w:proofErr w:type="spellEnd"/>
      <w:r w:rsidR="001F5C6A" w:rsidRPr="001D7672">
        <w:rPr>
          <w:rFonts w:ascii="Times New Roman" w:hAnsi="Times New Roman"/>
          <w:color w:val="000000"/>
          <w:sz w:val="28"/>
          <w:szCs w:val="28"/>
        </w:rPr>
        <w:t xml:space="preserve"> отсутствует. В случае передозировки следует прекратить терапию </w:t>
      </w:r>
      <w:proofErr w:type="spellStart"/>
      <w:r w:rsidR="001F5C6A" w:rsidRPr="001D7672">
        <w:rPr>
          <w:rFonts w:ascii="Times New Roman" w:hAnsi="Times New Roman"/>
          <w:color w:val="000000"/>
          <w:sz w:val="28"/>
          <w:szCs w:val="28"/>
        </w:rPr>
        <w:t>энзалутамидом</w:t>
      </w:r>
      <w:proofErr w:type="spellEnd"/>
      <w:r w:rsidR="001F5C6A" w:rsidRPr="001D7672">
        <w:rPr>
          <w:rFonts w:ascii="Times New Roman" w:hAnsi="Times New Roman"/>
          <w:color w:val="000000"/>
          <w:sz w:val="28"/>
          <w:szCs w:val="28"/>
        </w:rPr>
        <w:t xml:space="preserve"> и начать общую симптоматическую терапию с учетом периода полувыведения 5,8 дней.</w:t>
      </w:r>
    </w:p>
    <w:p w14:paraId="698E6D7A" w14:textId="77777777" w:rsidR="0069604B" w:rsidRPr="001D7672" w:rsidRDefault="0069604B" w:rsidP="0069604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1D7672">
        <w:rPr>
          <w:rFonts w:ascii="Times New Roman" w:hAnsi="Times New Roman"/>
          <w:i/>
          <w:color w:val="000000"/>
          <w:sz w:val="24"/>
        </w:rPr>
        <w:t xml:space="preserve"> </w:t>
      </w:r>
    </w:p>
    <w:p w14:paraId="180AD29D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1D7672">
        <w:rPr>
          <w:rFonts w:ascii="Times New Roman" w:hAnsi="Times New Roman"/>
          <w:color w:val="000000"/>
          <w:sz w:val="28"/>
          <w:szCs w:val="28"/>
        </w:rPr>
        <w:t xml:space="preserve">Если пациент пропустил прием </w:t>
      </w:r>
      <w:proofErr w:type="spellStart"/>
      <w:r w:rsidR="002270A6" w:rsidRPr="001D7672">
        <w:rPr>
          <w:rFonts w:ascii="Times New Roman" w:hAnsi="Times New Roman"/>
          <w:color w:val="000000"/>
          <w:sz w:val="28"/>
          <w:szCs w:val="28"/>
        </w:rPr>
        <w:t>Бидензы</w:t>
      </w:r>
      <w:proofErr w:type="spellEnd"/>
      <w:r w:rsidRPr="001D7672">
        <w:rPr>
          <w:rFonts w:ascii="Times New Roman" w:hAnsi="Times New Roman"/>
          <w:color w:val="000000"/>
          <w:sz w:val="28"/>
          <w:szCs w:val="28"/>
        </w:rPr>
        <w:t xml:space="preserve"> в обычное время, предписанную дозу следует принять как можно ближе к обычному времени. Если пациент пропустил прием препарата в течение целого дня, лечение следует возобновить на следующий день с обычной суточной дозы.</w:t>
      </w:r>
    </w:p>
    <w:p w14:paraId="723E9D16" w14:textId="77777777" w:rsidR="0069604B" w:rsidRPr="001D7672" w:rsidRDefault="0069604B" w:rsidP="0069604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Указание на наличие риска симптомов отмены </w:t>
      </w:r>
    </w:p>
    <w:p w14:paraId="671D3CD7" w14:textId="77777777" w:rsidR="00E70D8A" w:rsidRPr="001D7672" w:rsidRDefault="00E70D8A" w:rsidP="00173EB9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1D7672">
        <w:rPr>
          <w:rFonts w:ascii="Times New Roman" w:hAnsi="Times New Roman"/>
          <w:color w:val="000000"/>
          <w:sz w:val="28"/>
          <w:szCs w:val="28"/>
        </w:rPr>
        <w:t>Если у пациента развивается токсичность 3 степени и выше или опасные нежелательные реакции, прием препарата необходимо отменить на одну неделю или до снижения симптомов до уровня 2 степени и ниже, а затем, если это оправдано, возобновить прием в такой же или уменьшенной дозировке (120 или 80 мг).</w:t>
      </w:r>
    </w:p>
    <w:p w14:paraId="67B3FB04" w14:textId="77777777" w:rsidR="001E11B3" w:rsidRPr="001D7672" w:rsidRDefault="001E11B3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Особые группы пациентов</w:t>
      </w:r>
    </w:p>
    <w:p w14:paraId="7EB1AC67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Одновременное применение с сильными ингибиторами фермента CYP2C8</w:t>
      </w:r>
    </w:p>
    <w:p w14:paraId="012FF777" w14:textId="77777777" w:rsidR="003F4BF6" w:rsidRPr="003F4BF6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F4BF6">
        <w:rPr>
          <w:rFonts w:ascii="Times New Roman" w:hAnsi="Times New Roman"/>
          <w:sz w:val="28"/>
          <w:szCs w:val="28"/>
        </w:rPr>
        <w:t xml:space="preserve">По возможности, следует избегать одновременного применения сильных ингибиторов фермента CYP2C8. Если пациент должен одновременно принимать сильный ингибитор фермента CYP2C8, дозу </w:t>
      </w:r>
      <w:proofErr w:type="spellStart"/>
      <w:r w:rsidRPr="003F4BF6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 необходимо снизить до 80 мг один раз в день. </w:t>
      </w:r>
    </w:p>
    <w:p w14:paraId="28353014" w14:textId="77777777" w:rsidR="003F4BF6" w:rsidRPr="003F4BF6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F4BF6">
        <w:rPr>
          <w:rFonts w:ascii="Times New Roman" w:hAnsi="Times New Roman"/>
          <w:sz w:val="28"/>
          <w:szCs w:val="28"/>
        </w:rPr>
        <w:lastRenderedPageBreak/>
        <w:t xml:space="preserve">Если совместное применение сильного ингибитора фермента CYP2C8 прекращено, дозу </w:t>
      </w:r>
      <w:proofErr w:type="spellStart"/>
      <w:r w:rsidRPr="003F4BF6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Pr="003F4BF6">
        <w:rPr>
          <w:rFonts w:ascii="Times New Roman" w:hAnsi="Times New Roman"/>
          <w:sz w:val="28"/>
          <w:szCs w:val="28"/>
        </w:rPr>
        <w:t xml:space="preserve"> следует вернуть к дозе, использовавшейся до начала приема сильного ингибитора фермента CYP2C8.</w:t>
      </w:r>
    </w:p>
    <w:p w14:paraId="1B822A50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Пожилые люди</w:t>
      </w:r>
    </w:p>
    <w:p w14:paraId="6B9E0322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Коррекция дозы у пожилых людей не требуется.</w:t>
      </w:r>
    </w:p>
    <w:p w14:paraId="27EB1D29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 xml:space="preserve">Печеночная недостаточность </w:t>
      </w:r>
    </w:p>
    <w:p w14:paraId="01CA7C0D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Нет необходимости в коррекции дозы для пациентов с легкой, умеренной и тяжелой печеночной недостаточностью (классы А, B и C по шкале Чайлд-Пью).</w:t>
      </w:r>
      <w:r w:rsidR="0084262C" w:rsidRPr="001D7672">
        <w:rPr>
          <w:rFonts w:ascii="Times New Roman" w:hAnsi="Times New Roman"/>
          <w:sz w:val="28"/>
          <w:szCs w:val="28"/>
        </w:rPr>
        <w:t xml:space="preserve"> </w:t>
      </w:r>
      <w:r w:rsidRPr="001D7672">
        <w:rPr>
          <w:rFonts w:ascii="Times New Roman" w:hAnsi="Times New Roman"/>
          <w:sz w:val="28"/>
          <w:szCs w:val="28"/>
        </w:rPr>
        <w:t xml:space="preserve">Однако увеличение времени полувыведения препарата было отмечено у пациентов с тяжелой печеночной недостаточностью. </w:t>
      </w:r>
    </w:p>
    <w:p w14:paraId="50059D25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 xml:space="preserve">Почечная недостаточность </w:t>
      </w:r>
    </w:p>
    <w:p w14:paraId="026A648C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Нет необходимости в коррекции дозы для пациентов с легкой и умеренной почечной недостаточностью. У пациентов с тяжелой почечной недостаточностью и с терминальной стадией почечной недостаточности препарат должен применяться с осторожностью. </w:t>
      </w:r>
    </w:p>
    <w:p w14:paraId="469FF9A5" w14:textId="77777777" w:rsidR="008D152D" w:rsidRPr="001D7672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Дети</w:t>
      </w:r>
    </w:p>
    <w:p w14:paraId="0238FDEC" w14:textId="77777777" w:rsidR="00E70D8A" w:rsidRPr="001D7672" w:rsidRDefault="0084262C" w:rsidP="0017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У детей </w:t>
      </w:r>
      <w:proofErr w:type="spellStart"/>
      <w:r w:rsidRPr="001D7672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не используется по показаниям для лечения взрослых мужчин с КРРПЖ, </w:t>
      </w:r>
      <w:proofErr w:type="spellStart"/>
      <w:r w:rsidRPr="001D7672">
        <w:rPr>
          <w:rFonts w:ascii="Times New Roman" w:hAnsi="Times New Roman"/>
          <w:sz w:val="28"/>
          <w:szCs w:val="28"/>
        </w:rPr>
        <w:t>мГЧРП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или с биохимическим рецидивирующим (БКР) </w:t>
      </w:r>
      <w:proofErr w:type="spellStart"/>
      <w:r w:rsidRPr="001D7672">
        <w:rPr>
          <w:rFonts w:ascii="Times New Roman" w:hAnsi="Times New Roman"/>
          <w:sz w:val="28"/>
          <w:szCs w:val="28"/>
        </w:rPr>
        <w:t>неметастатическим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7672">
        <w:rPr>
          <w:rFonts w:ascii="Times New Roman" w:hAnsi="Times New Roman"/>
          <w:sz w:val="28"/>
          <w:szCs w:val="28"/>
        </w:rPr>
        <w:t>гормоночувствительным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раком предстательной железы (</w:t>
      </w:r>
      <w:proofErr w:type="spellStart"/>
      <w:r w:rsidRPr="001D7672">
        <w:rPr>
          <w:rFonts w:ascii="Times New Roman" w:hAnsi="Times New Roman"/>
          <w:sz w:val="28"/>
          <w:szCs w:val="28"/>
        </w:rPr>
        <w:t>нмГЧРП</w:t>
      </w:r>
      <w:proofErr w:type="spellEnd"/>
      <w:r w:rsidRPr="001D7672">
        <w:rPr>
          <w:rFonts w:ascii="Times New Roman" w:hAnsi="Times New Roman"/>
          <w:sz w:val="28"/>
          <w:szCs w:val="28"/>
        </w:rPr>
        <w:t>) высокого риска.</w:t>
      </w:r>
    </w:p>
    <w:p w14:paraId="5F71FC15" w14:textId="77777777" w:rsidR="0084262C" w:rsidRPr="001D7672" w:rsidRDefault="0084262C" w:rsidP="008426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7672">
        <w:rPr>
          <w:rFonts w:ascii="Times New Roman" w:hAnsi="Times New Roman"/>
          <w:b/>
          <w:sz w:val="28"/>
          <w:szCs w:val="28"/>
          <w:lang w:bidi="ru-RU"/>
        </w:rPr>
        <w:t xml:space="preserve">Способ применения </w:t>
      </w:r>
    </w:p>
    <w:p w14:paraId="32E0980F" w14:textId="77777777" w:rsidR="0084262C" w:rsidRPr="001D7672" w:rsidRDefault="0084262C" w:rsidP="0017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7672">
        <w:rPr>
          <w:rFonts w:ascii="Times New Roman" w:hAnsi="Times New Roman"/>
          <w:sz w:val="28"/>
          <w:szCs w:val="28"/>
        </w:rPr>
        <w:t>Биденза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предназначена для перорального применения. Капсулы не следует разжевывать, растворять или открывать, их следует проглатывать целиком, запивая водой, их можно принимать независимо от приема пищи.</w:t>
      </w:r>
    </w:p>
    <w:p w14:paraId="6D364D8A" w14:textId="77777777" w:rsidR="0084262C" w:rsidRPr="001D7672" w:rsidRDefault="0084262C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499C05" w14:textId="77777777" w:rsidR="001937AD" w:rsidRPr="001D7672" w:rsidRDefault="001937AD" w:rsidP="00173E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1D7672">
        <w:rPr>
          <w:rFonts w:ascii="Times New Roman" w:hAnsi="Times New Roman"/>
          <w:b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7"/>
    <w:p w14:paraId="3DF35371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5A6BB6">
        <w:rPr>
          <w:rFonts w:ascii="Times New Roman" w:hAnsi="Times New Roman"/>
          <w:i/>
          <w:sz w:val="28"/>
          <w:szCs w:val="28"/>
        </w:rPr>
        <w:t xml:space="preserve">Краткий обзор профиля безопасности </w:t>
      </w:r>
    </w:p>
    <w:p w14:paraId="3AD4F7E8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9" w:name="_Hlk113982819"/>
      <w:r w:rsidRPr="005A6BB6">
        <w:rPr>
          <w:rFonts w:ascii="Times New Roman" w:hAnsi="Times New Roman"/>
          <w:sz w:val="28"/>
          <w:szCs w:val="28"/>
        </w:rPr>
        <w:t>Наиболее распространенными нежелательными реакциями являются астения/утомляемость, гиперемия, переломы, артериальная гипертензия, падение. Другие важные нежелательные реакции включают ишемическую болезнь сердца и судорогу.</w:t>
      </w:r>
    </w:p>
    <w:bookmarkEnd w:id="9"/>
    <w:p w14:paraId="173761AA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5A6BB6">
        <w:rPr>
          <w:rFonts w:ascii="Times New Roman" w:hAnsi="Times New Roman"/>
          <w:sz w:val="28"/>
          <w:szCs w:val="28"/>
        </w:rPr>
        <w:t xml:space="preserve">Судороги развивались у 0,6 % пациентов, получавших </w:t>
      </w:r>
      <w:proofErr w:type="spellStart"/>
      <w:r w:rsidRPr="005A6BB6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sz w:val="28"/>
          <w:szCs w:val="28"/>
        </w:rPr>
        <w:t xml:space="preserve">, у 0,1 % пациентов, получавших плацебо, и 0,3 % пациентов, получавших </w:t>
      </w:r>
      <w:proofErr w:type="spellStart"/>
      <w:r w:rsidRPr="005A6BB6">
        <w:rPr>
          <w:rFonts w:ascii="Times New Roman" w:hAnsi="Times New Roman"/>
          <w:sz w:val="28"/>
          <w:szCs w:val="28"/>
        </w:rPr>
        <w:t>бикалутамид</w:t>
      </w:r>
      <w:proofErr w:type="spellEnd"/>
      <w:r w:rsidRPr="005A6BB6">
        <w:rPr>
          <w:rFonts w:ascii="Times New Roman" w:hAnsi="Times New Roman"/>
          <w:sz w:val="28"/>
          <w:szCs w:val="28"/>
        </w:rPr>
        <w:t>.</w:t>
      </w:r>
    </w:p>
    <w:p w14:paraId="42AA7D31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10" w:name="_Hlk172793054"/>
      <w:r w:rsidRPr="005A6BB6">
        <w:rPr>
          <w:rFonts w:ascii="Times New Roman" w:hAnsi="Times New Roman"/>
          <w:sz w:val="28"/>
          <w:szCs w:val="28"/>
        </w:rPr>
        <w:t xml:space="preserve">Были зарегистрированы редкие случаи синдрома обратимой задней энцефалопатии у пациентов, получавших </w:t>
      </w:r>
      <w:proofErr w:type="spellStart"/>
      <w:r w:rsidRPr="005A6BB6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sz w:val="28"/>
          <w:szCs w:val="28"/>
        </w:rPr>
        <w:t>.</w:t>
      </w:r>
    </w:p>
    <w:p w14:paraId="219190C0" w14:textId="77777777" w:rsidR="005A6BB6" w:rsidRDefault="005A6BB6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5A6BB6">
        <w:rPr>
          <w:rFonts w:ascii="Times New Roman" w:hAnsi="Times New Roman"/>
          <w:sz w:val="28"/>
          <w:szCs w:val="28"/>
        </w:rPr>
        <w:t xml:space="preserve">При лечении </w:t>
      </w:r>
      <w:proofErr w:type="spellStart"/>
      <w:r w:rsidRPr="005A6BB6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5A6BB6">
        <w:rPr>
          <w:rFonts w:ascii="Times New Roman" w:hAnsi="Times New Roman"/>
          <w:sz w:val="28"/>
          <w:szCs w:val="28"/>
        </w:rPr>
        <w:t xml:space="preserve"> отмечался синдром </w:t>
      </w:r>
      <w:proofErr w:type="spellStart"/>
      <w:r w:rsidRPr="005A6BB6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5A6BB6">
        <w:rPr>
          <w:rFonts w:ascii="Times New Roman" w:hAnsi="Times New Roman"/>
          <w:sz w:val="28"/>
          <w:szCs w:val="28"/>
        </w:rPr>
        <w:t>-Джонсона.</w:t>
      </w:r>
      <w:bookmarkEnd w:id="10"/>
    </w:p>
    <w:p w14:paraId="686AE852" w14:textId="77777777" w:rsidR="00BA0677" w:rsidRPr="001D7672" w:rsidRDefault="00BA0677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Категории частоты распределены следующим образом: </w:t>
      </w:r>
      <w:r w:rsidRPr="001D7672">
        <w:rPr>
          <w:rFonts w:ascii="Times New Roman" w:hAnsi="Times New Roman"/>
          <w:i/>
          <w:sz w:val="28"/>
          <w:szCs w:val="28"/>
        </w:rPr>
        <w:t>очень часто</w:t>
      </w:r>
      <w:r w:rsidRPr="001D7672">
        <w:rPr>
          <w:rFonts w:ascii="Times New Roman" w:hAnsi="Times New Roman"/>
          <w:sz w:val="28"/>
          <w:szCs w:val="28"/>
        </w:rPr>
        <w:t xml:space="preserve"> (≥1/10); </w:t>
      </w:r>
      <w:r w:rsidRPr="001D7672">
        <w:rPr>
          <w:rFonts w:ascii="Times New Roman" w:hAnsi="Times New Roman"/>
          <w:i/>
          <w:sz w:val="28"/>
          <w:szCs w:val="28"/>
        </w:rPr>
        <w:t>часто</w:t>
      </w:r>
      <w:r w:rsidRPr="001D7672">
        <w:rPr>
          <w:rFonts w:ascii="Times New Roman" w:hAnsi="Times New Roman"/>
          <w:sz w:val="28"/>
          <w:szCs w:val="28"/>
        </w:rPr>
        <w:t xml:space="preserve"> (от ≥1/100 до &lt;1/10); </w:t>
      </w:r>
      <w:r w:rsidRPr="001D7672">
        <w:rPr>
          <w:rFonts w:ascii="Times New Roman" w:hAnsi="Times New Roman"/>
          <w:i/>
          <w:sz w:val="28"/>
          <w:szCs w:val="28"/>
        </w:rPr>
        <w:t>нечасто</w:t>
      </w:r>
      <w:r w:rsidRPr="001D7672">
        <w:rPr>
          <w:rFonts w:ascii="Times New Roman" w:hAnsi="Times New Roman"/>
          <w:sz w:val="28"/>
          <w:szCs w:val="28"/>
        </w:rPr>
        <w:t xml:space="preserve"> (от ≥1/1000 до &lt;1/100), </w:t>
      </w:r>
      <w:r w:rsidRPr="001D7672">
        <w:rPr>
          <w:rFonts w:ascii="Times New Roman" w:hAnsi="Times New Roman"/>
          <w:i/>
          <w:sz w:val="28"/>
          <w:szCs w:val="28"/>
        </w:rPr>
        <w:t>редко</w:t>
      </w:r>
      <w:r w:rsidRPr="001D7672">
        <w:rPr>
          <w:rFonts w:ascii="Times New Roman" w:hAnsi="Times New Roman"/>
          <w:sz w:val="28"/>
          <w:szCs w:val="28"/>
        </w:rPr>
        <w:t xml:space="preserve"> (от ≥1/10 000 до &lt;1/1, 000), </w:t>
      </w:r>
      <w:r w:rsidRPr="001D7672">
        <w:rPr>
          <w:rFonts w:ascii="Times New Roman" w:hAnsi="Times New Roman"/>
          <w:i/>
          <w:sz w:val="28"/>
          <w:szCs w:val="28"/>
        </w:rPr>
        <w:t>очень редко</w:t>
      </w:r>
      <w:r w:rsidRPr="001D7672">
        <w:rPr>
          <w:rFonts w:ascii="Times New Roman" w:hAnsi="Times New Roman"/>
          <w:sz w:val="28"/>
          <w:szCs w:val="28"/>
        </w:rPr>
        <w:t xml:space="preserve"> (&lt;1/10 000), </w:t>
      </w:r>
      <w:r w:rsidRPr="001D7672">
        <w:rPr>
          <w:rFonts w:ascii="Times New Roman" w:hAnsi="Times New Roman"/>
          <w:i/>
          <w:sz w:val="28"/>
          <w:szCs w:val="28"/>
        </w:rPr>
        <w:t>неизвестно</w:t>
      </w:r>
      <w:r w:rsidRPr="001D7672">
        <w:rPr>
          <w:rFonts w:ascii="Times New Roman" w:hAnsi="Times New Roman"/>
          <w:sz w:val="28"/>
          <w:szCs w:val="28"/>
        </w:rPr>
        <w:t xml:space="preserve"> (невозможно оценить на основании имеющихся данных). Все </w:t>
      </w:r>
      <w:r w:rsidRPr="001D7672">
        <w:rPr>
          <w:rFonts w:ascii="Times New Roman" w:hAnsi="Times New Roman"/>
          <w:sz w:val="28"/>
          <w:szCs w:val="28"/>
        </w:rPr>
        <w:lastRenderedPageBreak/>
        <w:t xml:space="preserve">нежелательные реакции в каждой группе представлены в порядке </w:t>
      </w:r>
      <w:r w:rsidR="001F5C6A" w:rsidRPr="001D7672">
        <w:rPr>
          <w:rFonts w:ascii="Times New Roman" w:hAnsi="Times New Roman"/>
          <w:sz w:val="28"/>
          <w:szCs w:val="28"/>
        </w:rPr>
        <w:t xml:space="preserve">уменьшения </w:t>
      </w:r>
      <w:r w:rsidRPr="001D7672">
        <w:rPr>
          <w:rFonts w:ascii="Times New Roman" w:hAnsi="Times New Roman"/>
          <w:sz w:val="28"/>
          <w:szCs w:val="28"/>
        </w:rPr>
        <w:t>серьезности.</w:t>
      </w:r>
    </w:p>
    <w:p w14:paraId="685F7212" w14:textId="77777777" w:rsidR="00BA0677" w:rsidRPr="001D7672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Очень часто</w:t>
      </w:r>
    </w:p>
    <w:p w14:paraId="30A8060A" w14:textId="77777777" w:rsidR="001F5C6A" w:rsidRPr="001D7672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гиперемия, артериальная гипертензия</w:t>
      </w:r>
    </w:p>
    <w:p w14:paraId="38FC7DE2" w14:textId="77777777" w:rsidR="001F5C6A" w:rsidRPr="001D7672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переломы</w:t>
      </w:r>
      <w:r w:rsidRPr="001D7672">
        <w:rPr>
          <w:rFonts w:ascii="Times New Roman" w:hAnsi="Times New Roman"/>
          <w:sz w:val="28"/>
          <w:szCs w:val="28"/>
          <w:vertAlign w:val="superscript"/>
        </w:rPr>
        <w:t>‡</w:t>
      </w:r>
    </w:p>
    <w:p w14:paraId="49760F2F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r w:rsidR="001F5C6A" w:rsidRPr="001D7672">
        <w:rPr>
          <w:rFonts w:ascii="Times New Roman" w:hAnsi="Times New Roman"/>
          <w:sz w:val="28"/>
          <w:szCs w:val="28"/>
        </w:rPr>
        <w:t>астения, утомляемость</w:t>
      </w:r>
    </w:p>
    <w:p w14:paraId="51314DDF" w14:textId="77777777" w:rsidR="00BA0677" w:rsidRPr="001D7672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Часто</w:t>
      </w:r>
    </w:p>
    <w:p w14:paraId="6B854F02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r w:rsidR="001F5C6A" w:rsidRPr="001D7672">
        <w:rPr>
          <w:rFonts w:ascii="Times New Roman" w:hAnsi="Times New Roman"/>
          <w:sz w:val="28"/>
          <w:szCs w:val="28"/>
        </w:rPr>
        <w:t>тревожность</w:t>
      </w:r>
    </w:p>
    <w:p w14:paraId="7434E840" w14:textId="77777777" w:rsidR="00BA0677" w:rsidRPr="001D7672" w:rsidRDefault="00BA0677" w:rsidP="001F5C6A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головная боль</w:t>
      </w:r>
      <w:r w:rsidR="001F5C6A" w:rsidRPr="001D767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5C6A" w:rsidRPr="001D76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5C6A" w:rsidRPr="001D7672">
        <w:rPr>
          <w:rFonts w:ascii="Times New Roman" w:hAnsi="Times New Roman"/>
          <w:sz w:val="28"/>
          <w:szCs w:val="28"/>
        </w:rPr>
        <w:t xml:space="preserve">нарушение </w:t>
      </w:r>
      <w:r w:rsidRPr="001D7672">
        <w:rPr>
          <w:rFonts w:ascii="Times New Roman" w:hAnsi="Times New Roman"/>
          <w:sz w:val="28"/>
          <w:szCs w:val="28"/>
        </w:rPr>
        <w:t xml:space="preserve">памяти, </w:t>
      </w:r>
      <w:r w:rsidR="001F5C6A" w:rsidRPr="001D7672">
        <w:rPr>
          <w:rFonts w:ascii="Times New Roman" w:hAnsi="Times New Roman"/>
          <w:sz w:val="28"/>
          <w:szCs w:val="28"/>
        </w:rPr>
        <w:t>амнезия</w:t>
      </w:r>
      <w:r w:rsidRPr="001D7672">
        <w:rPr>
          <w:rFonts w:ascii="Times New Roman" w:hAnsi="Times New Roman"/>
          <w:sz w:val="28"/>
          <w:szCs w:val="28"/>
        </w:rPr>
        <w:t xml:space="preserve">, нарушение внимания, </w:t>
      </w:r>
      <w:proofErr w:type="spellStart"/>
      <w:r w:rsidR="00F7461D" w:rsidRPr="001D7672">
        <w:rPr>
          <w:rFonts w:ascii="Times New Roman" w:hAnsi="Times New Roman"/>
          <w:sz w:val="28"/>
          <w:szCs w:val="28"/>
        </w:rPr>
        <w:t>дисгевзия</w:t>
      </w:r>
      <w:proofErr w:type="spellEnd"/>
      <w:r w:rsidR="00F7461D" w:rsidRPr="001D7672">
        <w:rPr>
          <w:rFonts w:ascii="Times New Roman" w:hAnsi="Times New Roman"/>
          <w:sz w:val="28"/>
          <w:szCs w:val="28"/>
        </w:rPr>
        <w:t>, синдром</w:t>
      </w:r>
      <w:r w:rsidRPr="001D7672">
        <w:rPr>
          <w:rFonts w:ascii="Times New Roman" w:hAnsi="Times New Roman"/>
          <w:sz w:val="28"/>
          <w:szCs w:val="28"/>
        </w:rPr>
        <w:t xml:space="preserve"> беспокойных ног</w:t>
      </w:r>
      <w:r w:rsidR="00940A78" w:rsidRPr="001D7672">
        <w:rPr>
          <w:rFonts w:ascii="Times New Roman" w:hAnsi="Times New Roman"/>
          <w:sz w:val="28"/>
          <w:szCs w:val="28"/>
        </w:rPr>
        <w:t>, когнитивное расстройство</w:t>
      </w:r>
    </w:p>
    <w:p w14:paraId="2CBEC814" w14:textId="77777777" w:rsidR="001F5C6A" w:rsidRPr="001D7672" w:rsidRDefault="001F5C6A" w:rsidP="001F5C6A">
      <w:pPr>
        <w:pStyle w:val="ac"/>
        <w:rPr>
          <w:rFonts w:ascii="Times New Roman" w:hAnsi="Times New Roman"/>
          <w:color w:val="FF0000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ишемическая болезнь сердца</w:t>
      </w:r>
      <w:r w:rsidRPr="001D7672">
        <w:rPr>
          <w:rFonts w:ascii="Times New Roman" w:hAnsi="Times New Roman"/>
          <w:sz w:val="28"/>
          <w:szCs w:val="28"/>
          <w:vertAlign w:val="superscript"/>
        </w:rPr>
        <w:t>†</w:t>
      </w:r>
    </w:p>
    <w:p w14:paraId="2E0E5F3D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r w:rsidR="001F5C6A" w:rsidRPr="001D7672">
        <w:rPr>
          <w:rFonts w:ascii="Times New Roman" w:hAnsi="Times New Roman"/>
          <w:sz w:val="28"/>
          <w:szCs w:val="28"/>
        </w:rPr>
        <w:t>сухость кожных покровов, зуд</w:t>
      </w:r>
    </w:p>
    <w:p w14:paraId="786874EF" w14:textId="77777777" w:rsidR="001F5C6A" w:rsidRPr="001D7672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r w:rsidR="00805FB8" w:rsidRPr="001D7672">
        <w:rPr>
          <w:rFonts w:ascii="Times New Roman" w:hAnsi="Times New Roman"/>
          <w:sz w:val="28"/>
          <w:szCs w:val="28"/>
        </w:rPr>
        <w:t xml:space="preserve">гинекомастия, </w:t>
      </w:r>
      <w:r w:rsidRPr="001D7672">
        <w:rPr>
          <w:rFonts w:ascii="Times New Roman" w:hAnsi="Times New Roman"/>
          <w:sz w:val="28"/>
          <w:szCs w:val="28"/>
          <w:lang w:eastAsia="ja-JP"/>
        </w:rPr>
        <w:t>боль в сосках</w:t>
      </w:r>
      <w:r w:rsidRPr="001D7672">
        <w:rPr>
          <w:rFonts w:ascii="Times New Roman" w:hAnsi="Times New Roman"/>
          <w:sz w:val="28"/>
          <w:szCs w:val="28"/>
          <w:vertAlign w:val="superscript"/>
          <w:lang w:eastAsia="ja-JP"/>
        </w:rPr>
        <w:t>#</w:t>
      </w:r>
      <w:r w:rsidRPr="001D7672">
        <w:rPr>
          <w:rFonts w:ascii="Times New Roman" w:hAnsi="Times New Roman"/>
          <w:sz w:val="28"/>
          <w:szCs w:val="28"/>
          <w:lang w:eastAsia="ja-JP"/>
        </w:rPr>
        <w:t>, болезненность груди</w:t>
      </w:r>
      <w:r w:rsidRPr="001D7672">
        <w:rPr>
          <w:rFonts w:ascii="Times New Roman" w:hAnsi="Times New Roman"/>
          <w:sz w:val="24"/>
          <w:szCs w:val="24"/>
          <w:vertAlign w:val="superscript"/>
          <w:lang w:eastAsia="ja-JP"/>
        </w:rPr>
        <w:t>#</w:t>
      </w:r>
    </w:p>
    <w:p w14:paraId="5A5AE37E" w14:textId="77777777" w:rsidR="00E214FC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падения</w:t>
      </w:r>
    </w:p>
    <w:p w14:paraId="6BD63D8D" w14:textId="77777777" w:rsidR="00BA0677" w:rsidRPr="001D7672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Нечасто</w:t>
      </w:r>
    </w:p>
    <w:p w14:paraId="15042FD4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лейкопения, нейтропения</w:t>
      </w:r>
    </w:p>
    <w:p w14:paraId="5CAB972E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r w:rsidR="00940A78" w:rsidRPr="001D7672">
        <w:rPr>
          <w:rFonts w:ascii="Times New Roman" w:hAnsi="Times New Roman"/>
          <w:sz w:val="28"/>
          <w:szCs w:val="28"/>
        </w:rPr>
        <w:t xml:space="preserve">зрительные </w:t>
      </w:r>
      <w:r w:rsidRPr="001D7672">
        <w:rPr>
          <w:rFonts w:ascii="Times New Roman" w:hAnsi="Times New Roman"/>
          <w:sz w:val="28"/>
          <w:szCs w:val="28"/>
        </w:rPr>
        <w:t>галлюцинации</w:t>
      </w:r>
    </w:p>
    <w:p w14:paraId="3DD39E45" w14:textId="77777777" w:rsidR="00BA0677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судороги</w:t>
      </w:r>
      <w:r w:rsidR="001F5C6A" w:rsidRPr="001D7672">
        <w:rPr>
          <w:rFonts w:ascii="Times New Roman" w:hAnsi="Times New Roman"/>
          <w:sz w:val="24"/>
          <w:szCs w:val="24"/>
          <w:vertAlign w:val="superscript"/>
          <w:lang w:eastAsia="ja-JP"/>
        </w:rPr>
        <w:t>¥</w:t>
      </w:r>
      <w:r w:rsidRPr="001D7672">
        <w:rPr>
          <w:rFonts w:ascii="Times New Roman" w:hAnsi="Times New Roman"/>
          <w:sz w:val="28"/>
          <w:szCs w:val="28"/>
        </w:rPr>
        <w:t xml:space="preserve"> </w:t>
      </w:r>
    </w:p>
    <w:p w14:paraId="7A6B9FBE" w14:textId="77777777" w:rsidR="003F4BF6" w:rsidRPr="001D7672" w:rsidRDefault="003F4BF6" w:rsidP="00173EB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BF6">
        <w:rPr>
          <w:rFonts w:ascii="Times New Roman" w:hAnsi="Times New Roman"/>
          <w:sz w:val="28"/>
          <w:szCs w:val="28"/>
        </w:rPr>
        <w:t>повышение уровня печеночных ферментов</w:t>
      </w:r>
    </w:p>
    <w:p w14:paraId="0DDC44B2" w14:textId="77777777" w:rsidR="00BA0677" w:rsidRPr="001D7672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Частота неизвестна</w:t>
      </w:r>
    </w:p>
    <w:p w14:paraId="56442021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тромбоцитопения</w:t>
      </w:r>
    </w:p>
    <w:p w14:paraId="0E916610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отек лица, отек языка, отек губ, отек глотки</w:t>
      </w:r>
    </w:p>
    <w:p w14:paraId="7B051FA4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синдром задней обратимой энцефалопатии</w:t>
      </w:r>
    </w:p>
    <w:p w14:paraId="0E9BE0C0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удлинение интервала </w:t>
      </w:r>
      <w:r w:rsidRPr="001D7672">
        <w:rPr>
          <w:rFonts w:ascii="Times New Roman" w:hAnsi="Times New Roman"/>
          <w:sz w:val="28"/>
          <w:szCs w:val="28"/>
          <w:lang w:val="en-US"/>
        </w:rPr>
        <w:t>QT</w:t>
      </w:r>
    </w:p>
    <w:p w14:paraId="0D09D722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- тошнота, рвота, диарея</w:t>
      </w:r>
    </w:p>
    <w:p w14:paraId="4D8EDB5D" w14:textId="77777777" w:rsidR="00BA0677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7461D" w:rsidRPr="001D7672">
        <w:rPr>
          <w:rFonts w:ascii="Times New Roman" w:hAnsi="Times New Roman"/>
          <w:sz w:val="28"/>
          <w:szCs w:val="28"/>
        </w:rPr>
        <w:t>мультиформная</w:t>
      </w:r>
      <w:proofErr w:type="spellEnd"/>
      <w:r w:rsidR="00F7461D" w:rsidRPr="001D7672">
        <w:rPr>
          <w:rFonts w:ascii="Times New Roman" w:hAnsi="Times New Roman"/>
          <w:sz w:val="28"/>
          <w:szCs w:val="28"/>
        </w:rPr>
        <w:t xml:space="preserve"> эритема, </w:t>
      </w:r>
      <w:r w:rsidR="003F4BF6" w:rsidRPr="003F4BF6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="003F4BF6" w:rsidRPr="003F4BF6">
        <w:rPr>
          <w:rFonts w:ascii="Times New Roman" w:hAnsi="Times New Roman"/>
          <w:sz w:val="28"/>
          <w:szCs w:val="28"/>
        </w:rPr>
        <w:t>Стивенса</w:t>
      </w:r>
      <w:proofErr w:type="spellEnd"/>
      <w:r w:rsidR="003F4BF6" w:rsidRPr="003F4BF6">
        <w:rPr>
          <w:rFonts w:ascii="Times New Roman" w:hAnsi="Times New Roman"/>
          <w:sz w:val="28"/>
          <w:szCs w:val="28"/>
        </w:rPr>
        <w:t>-Джонсона</w:t>
      </w:r>
      <w:r w:rsidR="003F4BF6">
        <w:rPr>
          <w:rFonts w:ascii="Times New Roman" w:hAnsi="Times New Roman"/>
          <w:sz w:val="28"/>
          <w:szCs w:val="28"/>
        </w:rPr>
        <w:t>,</w:t>
      </w:r>
      <w:r w:rsidR="003F4BF6" w:rsidRPr="003F4BF6">
        <w:rPr>
          <w:rFonts w:ascii="Times New Roman" w:hAnsi="Times New Roman"/>
          <w:sz w:val="28"/>
          <w:szCs w:val="28"/>
        </w:rPr>
        <w:t xml:space="preserve"> </w:t>
      </w:r>
      <w:r w:rsidRPr="001D7672">
        <w:rPr>
          <w:rFonts w:ascii="Times New Roman" w:hAnsi="Times New Roman"/>
          <w:sz w:val="28"/>
          <w:szCs w:val="28"/>
        </w:rPr>
        <w:t>сыпь</w:t>
      </w:r>
    </w:p>
    <w:p w14:paraId="7C825879" w14:textId="77777777" w:rsidR="003F4BF6" w:rsidRPr="001D7672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- миалгия, </w:t>
      </w:r>
      <w:r w:rsidR="00940A78" w:rsidRPr="001D7672">
        <w:rPr>
          <w:rFonts w:ascii="Times New Roman" w:hAnsi="Times New Roman"/>
          <w:sz w:val="28"/>
          <w:szCs w:val="28"/>
        </w:rPr>
        <w:t>мышечные спазмы</w:t>
      </w:r>
      <w:r w:rsidRPr="001D7672">
        <w:rPr>
          <w:rFonts w:ascii="Times New Roman" w:hAnsi="Times New Roman"/>
          <w:sz w:val="28"/>
          <w:szCs w:val="28"/>
        </w:rPr>
        <w:t>, мышечная слабость, боль в спине</w:t>
      </w:r>
    </w:p>
    <w:p w14:paraId="2F89040F" w14:textId="77777777" w:rsidR="00BA0677" w:rsidRPr="001D7672" w:rsidRDefault="00BA0677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D7672">
        <w:rPr>
          <w:rFonts w:ascii="Times New Roman" w:hAnsi="Times New Roman"/>
          <w:sz w:val="24"/>
          <w:szCs w:val="24"/>
        </w:rPr>
        <w:t xml:space="preserve">* Спонтанные отчеты из </w:t>
      </w:r>
      <w:proofErr w:type="spellStart"/>
      <w:r w:rsidRPr="001D7672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Pr="001D7672">
        <w:rPr>
          <w:rFonts w:ascii="Times New Roman" w:hAnsi="Times New Roman"/>
          <w:sz w:val="24"/>
          <w:szCs w:val="24"/>
        </w:rPr>
        <w:t xml:space="preserve"> опыта</w:t>
      </w:r>
    </w:p>
    <w:p w14:paraId="366D6EB8" w14:textId="77777777" w:rsidR="00CB0947" w:rsidRPr="001D7672" w:rsidRDefault="00CB0947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F3D5652" w14:textId="77777777" w:rsidR="00BA0677" w:rsidRPr="001D7672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1D7672">
        <w:rPr>
          <w:rFonts w:ascii="Times New Roman" w:hAnsi="Times New Roman"/>
          <w:sz w:val="20"/>
          <w:szCs w:val="20"/>
          <w:vertAlign w:val="superscript"/>
        </w:rPr>
        <w:t>¥</w:t>
      </w:r>
      <w:r w:rsidRPr="001D7672">
        <w:rPr>
          <w:rFonts w:ascii="Times New Roman" w:hAnsi="Times New Roman"/>
          <w:sz w:val="20"/>
          <w:szCs w:val="20"/>
        </w:rPr>
        <w:t xml:space="preserve"> По оценкам узких SMQ «</w:t>
      </w:r>
      <w:r w:rsidR="00940A78" w:rsidRPr="001D7672">
        <w:rPr>
          <w:rFonts w:ascii="Times New Roman" w:hAnsi="Times New Roman"/>
          <w:sz w:val="20"/>
          <w:szCs w:val="20"/>
        </w:rPr>
        <w:t>конвульсии</w:t>
      </w:r>
      <w:r w:rsidRPr="001D7672">
        <w:rPr>
          <w:rFonts w:ascii="Times New Roman" w:hAnsi="Times New Roman"/>
          <w:sz w:val="20"/>
          <w:szCs w:val="20"/>
        </w:rPr>
        <w:t xml:space="preserve">», включая </w:t>
      </w:r>
      <w:r w:rsidR="00940A78" w:rsidRPr="001D7672">
        <w:rPr>
          <w:rFonts w:ascii="Times New Roman" w:hAnsi="Times New Roman"/>
          <w:sz w:val="20"/>
          <w:szCs w:val="20"/>
        </w:rPr>
        <w:t>конвульсии</w:t>
      </w:r>
      <w:r w:rsidRPr="001D7672">
        <w:rPr>
          <w:rFonts w:ascii="Times New Roman" w:hAnsi="Times New Roman"/>
          <w:sz w:val="20"/>
          <w:szCs w:val="20"/>
        </w:rPr>
        <w:t>, сильные судороги, сложные парциальные судороги, парциальные судороги и эпилептический статус. Это включает в себя редкие случаи судорог с осложнениями, приводящими к смерти.</w:t>
      </w:r>
    </w:p>
    <w:p w14:paraId="0F255A97" w14:textId="77777777" w:rsidR="00BA0677" w:rsidRPr="001D7672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1D7672">
        <w:rPr>
          <w:rFonts w:ascii="Times New Roman" w:hAnsi="Times New Roman"/>
          <w:sz w:val="20"/>
          <w:szCs w:val="20"/>
          <w:vertAlign w:val="superscript"/>
        </w:rPr>
        <w:t xml:space="preserve">† </w:t>
      </w:r>
      <w:r w:rsidRPr="001D7672">
        <w:rPr>
          <w:rFonts w:ascii="Times New Roman" w:hAnsi="Times New Roman"/>
          <w:sz w:val="20"/>
          <w:szCs w:val="20"/>
        </w:rPr>
        <w:t>По оценкам узких SMQ «инфаркта миокарда» и «других ишемических заболеваний сердца», включая следующие предпочтительные термины, наблюдаемые по меньшей мере у двух пациентов в рандомизированных исследованиях плацебо-контролируемой фазы 3: стенокардия, ишемическая болезнь сердца, инфаркт миокарда, острый миокард инфаркт, острый коронарный синдром, нестабильная стенокардия, ишемия миокарда и артериосклероз коронарной артерии.</w:t>
      </w:r>
    </w:p>
    <w:p w14:paraId="2710FB52" w14:textId="77777777" w:rsidR="00173EB9" w:rsidRPr="001D7672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1D7672">
        <w:rPr>
          <w:rFonts w:ascii="Times New Roman" w:hAnsi="Times New Roman"/>
          <w:sz w:val="20"/>
          <w:szCs w:val="20"/>
          <w:vertAlign w:val="superscript"/>
        </w:rPr>
        <w:t>‡</w:t>
      </w:r>
      <w:r w:rsidRPr="001D7672">
        <w:rPr>
          <w:rFonts w:ascii="Times New Roman" w:hAnsi="Times New Roman"/>
          <w:sz w:val="20"/>
          <w:szCs w:val="20"/>
        </w:rPr>
        <w:t xml:space="preserve"> Включает все предпочтительные термины со словом «перелом» в костях.</w:t>
      </w:r>
    </w:p>
    <w:p w14:paraId="51862F90" w14:textId="77777777" w:rsidR="00940A78" w:rsidRPr="001D7672" w:rsidRDefault="00940A78" w:rsidP="00940A78">
      <w:pPr>
        <w:spacing w:after="0" w:line="240" w:lineRule="auto"/>
        <w:jc w:val="both"/>
        <w:rPr>
          <w:rFonts w:ascii="Times New Roman" w:hAnsi="Times New Roman"/>
          <w:iCs/>
          <w:noProof/>
          <w:sz w:val="20"/>
          <w:szCs w:val="20"/>
        </w:rPr>
      </w:pPr>
      <w:r w:rsidRPr="001D7672">
        <w:rPr>
          <w:rFonts w:ascii="Times New Roman" w:hAnsi="Times New Roman"/>
          <w:iCs/>
          <w:noProof/>
          <w:sz w:val="20"/>
          <w:szCs w:val="20"/>
          <w:vertAlign w:val="superscript"/>
        </w:rPr>
        <w:t>#</w:t>
      </w:r>
      <w:r w:rsidRPr="001D7672">
        <w:rPr>
          <w:rFonts w:ascii="Times New Roman" w:hAnsi="Times New Roman"/>
          <w:iCs/>
          <w:noProof/>
          <w:sz w:val="20"/>
          <w:szCs w:val="20"/>
        </w:rPr>
        <w:t xml:space="preserve"> Побочные реакции при монотерапии энзалутамидом</w:t>
      </w:r>
    </w:p>
    <w:p w14:paraId="23DB78B0" w14:textId="77777777" w:rsidR="00940A78" w:rsidRPr="001D7672" w:rsidRDefault="00940A78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5B1B574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5A6BB6">
        <w:rPr>
          <w:rFonts w:ascii="Times New Roman" w:hAnsi="Times New Roman"/>
          <w:i/>
          <w:iCs/>
          <w:sz w:val="28"/>
          <w:szCs w:val="28"/>
        </w:rPr>
        <w:t>Описание отдельных нежелательных реакций</w:t>
      </w:r>
    </w:p>
    <w:p w14:paraId="7D8B01D9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5A6BB6">
        <w:rPr>
          <w:rFonts w:ascii="Times New Roman" w:hAnsi="Times New Roman"/>
          <w:i/>
          <w:iCs/>
          <w:sz w:val="28"/>
          <w:szCs w:val="28"/>
        </w:rPr>
        <w:t>Судороги</w:t>
      </w:r>
    </w:p>
    <w:p w14:paraId="58D2D273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bookmarkStart w:id="11" w:name="_Hlk172793165"/>
      <w:r w:rsidRPr="005A6BB6">
        <w:rPr>
          <w:rFonts w:ascii="Times New Roman" w:hAnsi="Times New Roman"/>
          <w:iCs/>
          <w:sz w:val="28"/>
          <w:szCs w:val="28"/>
        </w:rPr>
        <w:t xml:space="preserve">Существуют данные, что у 31 пациента (0.6 %) из 5110 пациентов, получавших терапию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суточной дозе 160 мг было отмечено развитие судорог, в то время как судорога наблюдалась в группе из 4 пациентов (0.1 %), получавших плацебо и одного пациента (0.3%), </w:t>
      </w:r>
      <w:r w:rsidRPr="005A6BB6">
        <w:rPr>
          <w:rFonts w:ascii="Times New Roman" w:hAnsi="Times New Roman"/>
          <w:iCs/>
          <w:sz w:val="28"/>
          <w:szCs w:val="28"/>
        </w:rPr>
        <w:lastRenderedPageBreak/>
        <w:t xml:space="preserve">получавшего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бикалутамид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. Доза представляется важным предиктором риска развития судорог, о чем свидетельствуют данные доклинических исследований и данные исследований с увеличением дозы. В контролируемых клинических исследованиях исключались пациенты с судорогами в анамнезе или факторами риска возникновения судорог.</w:t>
      </w:r>
    </w:p>
    <w:p w14:paraId="2AE05FEB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несравнительном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исследовании 9785-CL-0403 (UPWARD) по оценке частоты возникновения судорог у пациентов с предрасполагающими факторами их развития (1,6 % пациентов, включенных в исследование, имели в анамнезе судорожные припадки) у 8 из 366 (2,2 %) пациентов,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, отмечали судорожные припадки. Медиана продолжительности лечения составила 9,3 месяцев.</w:t>
      </w:r>
    </w:p>
    <w:p w14:paraId="7CCC818D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Механизм, посредством которого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может снижать судорожный порог, неизвестен. Однако он может быть связан с данными исследований </w:t>
      </w:r>
      <w:proofErr w:type="spellStart"/>
      <w:r w:rsidRPr="005A6BB6">
        <w:rPr>
          <w:rFonts w:ascii="Times New Roman" w:hAnsi="Times New Roman"/>
          <w:i/>
          <w:iCs/>
          <w:sz w:val="28"/>
          <w:szCs w:val="28"/>
        </w:rPr>
        <w:t>in</w:t>
      </w:r>
      <w:proofErr w:type="spellEnd"/>
      <w:r w:rsidRPr="005A6B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6BB6">
        <w:rPr>
          <w:rFonts w:ascii="Times New Roman" w:hAnsi="Times New Roman"/>
          <w:i/>
          <w:iCs/>
          <w:sz w:val="28"/>
          <w:szCs w:val="28"/>
        </w:rPr>
        <w:t>vitro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которые показали, что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и его активный метаболит связываются и могут ингибировать активность хлорных каналов ГАМК-рецепторов.</w:t>
      </w:r>
    </w:p>
    <w:bookmarkEnd w:id="11"/>
    <w:p w14:paraId="4C92ED7E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5A6BB6">
        <w:rPr>
          <w:rFonts w:ascii="Times New Roman" w:hAnsi="Times New Roman"/>
          <w:i/>
          <w:iCs/>
          <w:sz w:val="28"/>
          <w:szCs w:val="28"/>
        </w:rPr>
        <w:t xml:space="preserve">Ишемическая болезнь сердца. </w:t>
      </w:r>
    </w:p>
    <w:p w14:paraId="3BADCA93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Существуют данные в рандомизированных плацебо-контролируемых клинических исследованиях, что ишемическая болезнь сердца наблюдалась у 3,5 % пациентов,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плюс АДТ, по сравнению с 2 % пациентов, получавших плацебо плюс АДТ. У четырнадцати (0,4%) пациентов,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плюс АДТ, и у 3 (0,1%) пациентов, получавших плацебо плюс АДТ, развился эпизод ишемической болезни сердца, приведший к смерти.</w:t>
      </w:r>
    </w:p>
    <w:p w14:paraId="15412E0A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В исследовании EMBARK ишемическая болезнь сердца возникла у 5,4% пациентов, принимавших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у 9% пациентов, принимавших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. Ни у одного пациента, принимавшего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у одного (0,3%) пациента, принимавшего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, не было случаев ишемической болезни сердца, приведших к смерти.</w:t>
      </w:r>
    </w:p>
    <w:p w14:paraId="008FF7CC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2" w:name="_Hlk167282152"/>
      <w:r w:rsidRPr="005A6BB6">
        <w:rPr>
          <w:rFonts w:ascii="Times New Roman" w:hAnsi="Times New Roman"/>
          <w:i/>
          <w:iCs/>
          <w:sz w:val="28"/>
          <w:szCs w:val="28"/>
        </w:rPr>
        <w:t>Гинекомастия</w:t>
      </w:r>
    </w:p>
    <w:p w14:paraId="2E220F7F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В исследовании EMBARK гинекомастия (все степени) наблюдалась у 29 из 353 пациентов (8,2%),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у 159 из 354 пациентов (44,9%),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. Гинекомастия 3-й степени и выше не наблюдалась ни у одного пациента, принимавшего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наблюдалась у 3 пациентов (0,8%), принимавших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.</w:t>
      </w:r>
    </w:p>
    <w:p w14:paraId="6BB9526D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5A6BB6">
        <w:rPr>
          <w:rFonts w:ascii="Times New Roman" w:hAnsi="Times New Roman"/>
          <w:i/>
          <w:iCs/>
          <w:sz w:val="28"/>
          <w:szCs w:val="28"/>
        </w:rPr>
        <w:t>Боль в сосках</w:t>
      </w:r>
    </w:p>
    <w:p w14:paraId="3F9C1C64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В исследовании EMBARK боль в сосках (всех степеней) наблюдалась у 11 из 353 пациентов (3,1%), принимавших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леупролидом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у 54 из 354 пациентов (15,3%),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</w:t>
      </w:r>
      <w:r w:rsidRPr="005A6BB6">
        <w:rPr>
          <w:rFonts w:ascii="Times New Roman" w:hAnsi="Times New Roman"/>
          <w:iCs/>
          <w:sz w:val="28"/>
          <w:szCs w:val="28"/>
        </w:rPr>
        <w:lastRenderedPageBreak/>
        <w:t xml:space="preserve">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. Боль в сосках 3-й степени и выше не наблюдалась ни у одного пациента, принимавшего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или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.</w:t>
      </w:r>
    </w:p>
    <w:p w14:paraId="62FA0311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5A6BB6">
        <w:rPr>
          <w:rFonts w:ascii="Times New Roman" w:hAnsi="Times New Roman"/>
          <w:i/>
          <w:iCs/>
          <w:sz w:val="28"/>
          <w:szCs w:val="28"/>
        </w:rPr>
        <w:t>Болезненность молочных желез</w:t>
      </w:r>
    </w:p>
    <w:p w14:paraId="2C547BBE" w14:textId="77777777" w:rsidR="005A6BB6" w:rsidRPr="005A6BB6" w:rsidRDefault="005A6BB6" w:rsidP="005A6BB6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5A6BB6">
        <w:rPr>
          <w:rFonts w:ascii="Times New Roman" w:hAnsi="Times New Roman"/>
          <w:iCs/>
          <w:sz w:val="28"/>
          <w:szCs w:val="28"/>
        </w:rPr>
        <w:t xml:space="preserve">В исследовании EMBARK болезненность молочных желез (все степени) наблюдалась у 5 из 353 пациентов (1,4%), принимавших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, и у 51 из 354 пациентов (14,4%), получавших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. Болезненность молочных желез 3-й степени и выше не наблюдалась ни у одного пациента, принимавшего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лейпролидом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или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5A6BB6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5A6BB6">
        <w:rPr>
          <w:rFonts w:ascii="Times New Roman" w:hAnsi="Times New Roman"/>
          <w:iCs/>
          <w:sz w:val="28"/>
          <w:szCs w:val="28"/>
        </w:rPr>
        <w:t>.</w:t>
      </w:r>
    </w:p>
    <w:bookmarkEnd w:id="12"/>
    <w:p w14:paraId="401BF653" w14:textId="77777777" w:rsidR="005A6BB6" w:rsidRPr="001D7672" w:rsidRDefault="005A6BB6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BC5A0E0" w14:textId="77777777" w:rsidR="00FE1E41" w:rsidRPr="001D7672" w:rsidRDefault="00827BB2" w:rsidP="00173EB9">
      <w:pPr>
        <w:pStyle w:val="ac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1D7672">
        <w:rPr>
          <w:rFonts w:ascii="Times New Roman" w:hAnsi="Times New Roman"/>
          <w:b/>
          <w:color w:val="000000"/>
          <w:sz w:val="28"/>
        </w:rPr>
        <w:t>П</w:t>
      </w:r>
      <w:r w:rsidR="00D93C80" w:rsidRPr="001D7672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1D7672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1D7672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1D7672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7B9793B" w14:textId="77777777" w:rsidR="006703A5" w:rsidRPr="001D7672" w:rsidRDefault="006703A5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1D7672">
        <w:rPr>
          <w:rFonts w:ascii="Times New Roman" w:hAnsi="Times New Roman"/>
          <w:sz w:val="28"/>
          <w:szCs w:val="28"/>
        </w:rPr>
        <w:t>Комитет</w:t>
      </w:r>
      <w:r w:rsidR="00581DC8" w:rsidRPr="001D7672">
        <w:rPr>
          <w:rFonts w:ascii="Times New Roman" w:hAnsi="Times New Roman"/>
          <w:sz w:val="28"/>
          <w:szCs w:val="28"/>
          <w:lang w:val="kk-KZ"/>
        </w:rPr>
        <w:t>а</w:t>
      </w:r>
      <w:r w:rsidR="005779DE" w:rsidRPr="001D7672">
        <w:rPr>
          <w:rFonts w:ascii="Times New Roman" w:hAnsi="Times New Roman"/>
          <w:sz w:val="28"/>
          <w:szCs w:val="28"/>
        </w:rPr>
        <w:t xml:space="preserve"> </w:t>
      </w:r>
      <w:r w:rsidR="004D1328" w:rsidRPr="001D7672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1D7672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616CADB0" w14:textId="77777777" w:rsidR="006703A5" w:rsidRPr="001D7672" w:rsidRDefault="003A121D" w:rsidP="00173EB9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1D767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1D7672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1D7672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1D767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1D7672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1D767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1D7672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150304D" w14:textId="77777777" w:rsidR="006703A5" w:rsidRPr="001D7672" w:rsidRDefault="006703A5" w:rsidP="00173EB9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59BB03" w14:textId="77777777" w:rsidR="000C2C4B" w:rsidRPr="001D7672" w:rsidRDefault="000C2C4B" w:rsidP="00173EB9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39682F0B" w14:textId="77777777" w:rsidR="006B7A90" w:rsidRPr="001D7672" w:rsidRDefault="00844CE8" w:rsidP="00173E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13" w:name="2175220285"/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CE18160" w14:textId="77777777" w:rsidR="00BA0677" w:rsidRPr="001D7672" w:rsidRDefault="00BA0677" w:rsidP="00FF2E76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14" w:name="2175220286"/>
      <w:bookmarkEnd w:id="13"/>
      <w:r w:rsidRPr="001D7672">
        <w:rPr>
          <w:rFonts w:ascii="Times New Roman" w:hAnsi="Times New Roman"/>
          <w:sz w:val="28"/>
          <w:szCs w:val="28"/>
        </w:rPr>
        <w:t xml:space="preserve">Одна капсула содержит </w:t>
      </w:r>
    </w:p>
    <w:p w14:paraId="222D2B8D" w14:textId="77777777" w:rsidR="00BA0677" w:rsidRPr="001D7672" w:rsidRDefault="00BA0677" w:rsidP="00FF2E7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 xml:space="preserve">активное вещество – </w:t>
      </w:r>
      <w:proofErr w:type="spellStart"/>
      <w:r w:rsidRPr="001D7672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40.0 мг</w:t>
      </w:r>
      <w:r w:rsidR="0031673B">
        <w:rPr>
          <w:rFonts w:ascii="Times New Roman" w:hAnsi="Times New Roman"/>
          <w:sz w:val="28"/>
          <w:szCs w:val="28"/>
        </w:rPr>
        <w:t>;</w:t>
      </w:r>
    </w:p>
    <w:p w14:paraId="39EC7473" w14:textId="77777777" w:rsidR="00822B0B" w:rsidRPr="001D7672" w:rsidRDefault="00BA0677" w:rsidP="00FF2E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 xml:space="preserve">вспомогательные вещества: </w:t>
      </w:r>
      <w:r w:rsidR="00822B0B" w:rsidRPr="001D7672">
        <w:rPr>
          <w:rFonts w:ascii="Times New Roman" w:hAnsi="Times New Roman"/>
          <w:bCs/>
          <w:sz w:val="28"/>
          <w:szCs w:val="28"/>
        </w:rPr>
        <w:t>лактоза безводная</w:t>
      </w:r>
      <w:r w:rsidR="00822B0B" w:rsidRPr="001D7672">
        <w:rPr>
          <w:rFonts w:ascii="Times New Roman" w:hAnsi="Times New Roman"/>
          <w:i/>
          <w:sz w:val="28"/>
          <w:szCs w:val="28"/>
        </w:rPr>
        <w:t>,</w:t>
      </w:r>
      <w:r w:rsidR="00822B0B" w:rsidRPr="001D76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22B0B" w:rsidRPr="001D7672">
        <w:rPr>
          <w:rFonts w:ascii="Times New Roman" w:hAnsi="Times New Roman"/>
          <w:bCs/>
          <w:sz w:val="28"/>
          <w:szCs w:val="28"/>
        </w:rPr>
        <w:t>лабрасол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 </w:t>
      </w:r>
      <w:r w:rsidR="00822B0B" w:rsidRPr="001D7672">
        <w:rPr>
          <w:rFonts w:ascii="Times New Roman" w:hAnsi="Times New Roman"/>
          <w:bCs/>
          <w:sz w:val="28"/>
          <w:szCs w:val="28"/>
          <w:lang w:val="en-US"/>
        </w:rPr>
        <w:t>ALF</w:t>
      </w:r>
      <w:r w:rsidR="00822B0B" w:rsidRPr="001D7672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822B0B" w:rsidRPr="001D7672">
        <w:rPr>
          <w:rFonts w:ascii="Times New Roman" w:hAnsi="Times New Roman"/>
          <w:bCs/>
          <w:sz w:val="28"/>
          <w:szCs w:val="28"/>
        </w:rPr>
        <w:t>каприлокаспроил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 полиоксил-8 глицериды), кремния диоксид коллоидный (Аэросил 200), целлюлоза микрокристаллическая, капсулы размером №</w:t>
      </w:r>
      <w:r w:rsidR="000274FB" w:rsidRPr="001D7672">
        <w:rPr>
          <w:rFonts w:ascii="Times New Roman" w:hAnsi="Times New Roman"/>
          <w:bCs/>
          <w:sz w:val="28"/>
          <w:szCs w:val="28"/>
        </w:rPr>
        <w:t>00 (</w:t>
      </w:r>
      <w:r w:rsidR="00822B0B" w:rsidRPr="001D7672">
        <w:rPr>
          <w:rFonts w:ascii="Times New Roman" w:hAnsi="Times New Roman"/>
          <w:bCs/>
          <w:sz w:val="28"/>
          <w:szCs w:val="28"/>
        </w:rPr>
        <w:t>тело и корпус),</w:t>
      </w:r>
    </w:p>
    <w:p w14:paraId="3F3C2A68" w14:textId="77777777" w:rsidR="004D1328" w:rsidRPr="001D7672" w:rsidRDefault="00BA0677" w:rsidP="004D132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D7672">
        <w:rPr>
          <w:rFonts w:ascii="Times New Roman" w:hAnsi="Times New Roman"/>
          <w:i/>
          <w:sz w:val="28"/>
          <w:szCs w:val="28"/>
        </w:rPr>
        <w:t>состав капсулы</w:t>
      </w:r>
      <w:r w:rsidR="00476861" w:rsidRPr="001D7672">
        <w:rPr>
          <w:rFonts w:ascii="Times New Roman" w:hAnsi="Times New Roman"/>
          <w:i/>
          <w:sz w:val="28"/>
          <w:szCs w:val="28"/>
        </w:rPr>
        <w:t xml:space="preserve"> (тело и корпус)</w:t>
      </w:r>
      <w:r w:rsidRPr="001D7672">
        <w:rPr>
          <w:rFonts w:ascii="Times New Roman" w:hAnsi="Times New Roman"/>
          <w:i/>
          <w:sz w:val="28"/>
          <w:szCs w:val="28"/>
          <w:lang w:val="hu-HU"/>
        </w:rPr>
        <w:t>:</w:t>
      </w:r>
      <w:r w:rsidR="00822B0B" w:rsidRPr="001D76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3CBE" w:rsidRPr="001D7672">
        <w:rPr>
          <w:rFonts w:ascii="Times New Roman" w:hAnsi="Times New Roman"/>
          <w:bCs/>
          <w:sz w:val="28"/>
          <w:szCs w:val="28"/>
        </w:rPr>
        <w:t>п</w:t>
      </w:r>
      <w:r w:rsidR="00822B0B" w:rsidRPr="001D7672">
        <w:rPr>
          <w:rFonts w:ascii="Times New Roman" w:hAnsi="Times New Roman"/>
          <w:bCs/>
          <w:sz w:val="28"/>
          <w:szCs w:val="28"/>
        </w:rPr>
        <w:t>оливинилпирролидон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 – 30, </w:t>
      </w:r>
      <w:r w:rsidR="000B3CBE" w:rsidRPr="001D7672">
        <w:rPr>
          <w:rFonts w:ascii="Times New Roman" w:hAnsi="Times New Roman"/>
          <w:bCs/>
          <w:sz w:val="28"/>
          <w:szCs w:val="28"/>
        </w:rPr>
        <w:t>н</w:t>
      </w:r>
      <w:r w:rsidR="00822B0B" w:rsidRPr="001D7672">
        <w:rPr>
          <w:rFonts w:ascii="Times New Roman" w:hAnsi="Times New Roman"/>
          <w:bCs/>
          <w:sz w:val="28"/>
          <w:szCs w:val="28"/>
        </w:rPr>
        <w:t xml:space="preserve">атрия </w:t>
      </w:r>
      <w:proofErr w:type="spellStart"/>
      <w:r w:rsidR="00822B0B" w:rsidRPr="001D7672">
        <w:rPr>
          <w:rFonts w:ascii="Times New Roman" w:hAnsi="Times New Roman"/>
          <w:bCs/>
          <w:sz w:val="28"/>
          <w:szCs w:val="28"/>
        </w:rPr>
        <w:t>лаурилсульфат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B3CBE" w:rsidRPr="001D7672">
        <w:rPr>
          <w:rFonts w:ascii="Times New Roman" w:hAnsi="Times New Roman"/>
          <w:bCs/>
          <w:sz w:val="28"/>
          <w:szCs w:val="28"/>
        </w:rPr>
        <w:t>м</w:t>
      </w:r>
      <w:r w:rsidR="00822B0B" w:rsidRPr="001D7672">
        <w:rPr>
          <w:rFonts w:ascii="Times New Roman" w:hAnsi="Times New Roman"/>
          <w:bCs/>
          <w:sz w:val="28"/>
          <w:szCs w:val="28"/>
        </w:rPr>
        <w:t>етилпарабен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B3CBE" w:rsidRPr="001D7672">
        <w:rPr>
          <w:rFonts w:ascii="Times New Roman" w:hAnsi="Times New Roman"/>
          <w:bCs/>
          <w:sz w:val="28"/>
          <w:szCs w:val="28"/>
        </w:rPr>
        <w:t>п</w:t>
      </w:r>
      <w:r w:rsidR="00822B0B" w:rsidRPr="001D7672">
        <w:rPr>
          <w:rFonts w:ascii="Times New Roman" w:hAnsi="Times New Roman"/>
          <w:bCs/>
          <w:sz w:val="28"/>
          <w:szCs w:val="28"/>
        </w:rPr>
        <w:t>ропилпарабен</w:t>
      </w:r>
      <w:proofErr w:type="spellEnd"/>
      <w:r w:rsidR="00822B0B" w:rsidRPr="001D7672">
        <w:rPr>
          <w:rFonts w:ascii="Times New Roman" w:hAnsi="Times New Roman"/>
          <w:bCs/>
          <w:sz w:val="28"/>
          <w:szCs w:val="28"/>
        </w:rPr>
        <w:t xml:space="preserve">, </w:t>
      </w:r>
      <w:r w:rsidR="000B3CBE" w:rsidRPr="001D7672">
        <w:rPr>
          <w:rFonts w:ascii="Times New Roman" w:hAnsi="Times New Roman"/>
          <w:bCs/>
          <w:sz w:val="28"/>
          <w:szCs w:val="28"/>
        </w:rPr>
        <w:t>к</w:t>
      </w:r>
      <w:r w:rsidR="00822B0B" w:rsidRPr="001D7672">
        <w:rPr>
          <w:rFonts w:ascii="Times New Roman" w:hAnsi="Times New Roman"/>
          <w:bCs/>
          <w:sz w:val="28"/>
          <w:szCs w:val="28"/>
        </w:rPr>
        <w:t>раситель желтый-06 (</w:t>
      </w:r>
      <w:r w:rsidR="00822B0B" w:rsidRPr="001D7672">
        <w:rPr>
          <w:rFonts w:ascii="Times New Roman" w:hAnsi="Times New Roman"/>
          <w:bCs/>
          <w:sz w:val="28"/>
          <w:szCs w:val="28"/>
          <w:lang w:val="kk-KZ"/>
        </w:rPr>
        <w:t xml:space="preserve">тартразин (Е 102), </w:t>
      </w:r>
      <w:r w:rsidR="00822B0B" w:rsidRPr="001D7672">
        <w:rPr>
          <w:rFonts w:ascii="Times New Roman" w:hAnsi="Times New Roman"/>
          <w:bCs/>
          <w:sz w:val="28"/>
          <w:szCs w:val="28"/>
        </w:rPr>
        <w:t>желтый солнечный закат (Е 110), титана диоксид</w:t>
      </w:r>
      <w:r w:rsidR="002D2301" w:rsidRPr="001D7672">
        <w:rPr>
          <w:rFonts w:ascii="Times New Roman" w:hAnsi="Times New Roman"/>
          <w:bCs/>
          <w:sz w:val="28"/>
          <w:szCs w:val="28"/>
        </w:rPr>
        <w:t xml:space="preserve"> </w:t>
      </w:r>
      <w:r w:rsidR="00822B0B" w:rsidRPr="001D7672">
        <w:rPr>
          <w:rFonts w:ascii="Times New Roman" w:hAnsi="Times New Roman"/>
          <w:bCs/>
          <w:sz w:val="28"/>
          <w:szCs w:val="28"/>
        </w:rPr>
        <w:t>(Е 171)), вода очищенная, желатин.</w:t>
      </w:r>
    </w:p>
    <w:p w14:paraId="0233AE54" w14:textId="77777777" w:rsidR="00F8613D" w:rsidRPr="001D7672" w:rsidRDefault="00F8613D" w:rsidP="004D13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B37820" w14:textId="77777777" w:rsidR="00D35373" w:rsidRPr="001D7672" w:rsidRDefault="006B7A90" w:rsidP="004D13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  <w:bookmarkEnd w:id="14"/>
    </w:p>
    <w:p w14:paraId="67143286" w14:textId="77777777" w:rsidR="00D126A9" w:rsidRPr="001D7672" w:rsidRDefault="00D126A9" w:rsidP="00D126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 xml:space="preserve">Капсулы размером №00 с желтой непрозрачной крышечкой и с желтым непрозрачным корпусом.  </w:t>
      </w:r>
    </w:p>
    <w:p w14:paraId="0CE339CA" w14:textId="77777777" w:rsidR="006B7A90" w:rsidRPr="001D7672" w:rsidRDefault="00D126A9" w:rsidP="00D126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Содержимое капсулы гранулированный порошок белого или почти белого цвета.</w:t>
      </w:r>
    </w:p>
    <w:p w14:paraId="042CBE92" w14:textId="77777777" w:rsidR="00D126A9" w:rsidRPr="001D7672" w:rsidRDefault="00D126A9" w:rsidP="00D126A9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7A5C1" w14:textId="77777777" w:rsidR="00C9308C" w:rsidRPr="001D7672" w:rsidRDefault="00C9308C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5" w:name="2175220287"/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 упаковка</w:t>
      </w:r>
    </w:p>
    <w:p w14:paraId="2BBEB83A" w14:textId="77777777" w:rsidR="00D126A9" w:rsidRPr="001D7672" w:rsidRDefault="00D126A9" w:rsidP="00D1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lastRenderedPageBreak/>
        <w:t xml:space="preserve">По 28 капсул в контурную ячейковую упаковку из пленки </w:t>
      </w:r>
      <w:proofErr w:type="spellStart"/>
      <w:r w:rsidRPr="001D7672">
        <w:rPr>
          <w:rFonts w:ascii="Times New Roman" w:hAnsi="Times New Roman"/>
          <w:sz w:val="28"/>
          <w:szCs w:val="28"/>
        </w:rPr>
        <w:t>поливинилхло-рида</w:t>
      </w:r>
      <w:proofErr w:type="spellEnd"/>
      <w:r w:rsidRPr="001D7672">
        <w:rPr>
          <w:rFonts w:ascii="Times New Roman" w:hAnsi="Times New Roman"/>
          <w:sz w:val="28"/>
          <w:szCs w:val="28"/>
        </w:rPr>
        <w:t xml:space="preserve"> и фольги алюминиевой пе</w:t>
      </w:r>
      <w:r w:rsidR="00EA13F1" w:rsidRPr="001D7672">
        <w:rPr>
          <w:rFonts w:ascii="Times New Roman" w:hAnsi="Times New Roman"/>
          <w:sz w:val="28"/>
          <w:szCs w:val="28"/>
        </w:rPr>
        <w:t>чатной</w:t>
      </w:r>
      <w:r w:rsidRPr="001D7672">
        <w:rPr>
          <w:rFonts w:ascii="Times New Roman" w:hAnsi="Times New Roman"/>
          <w:sz w:val="28"/>
          <w:szCs w:val="28"/>
        </w:rPr>
        <w:t xml:space="preserve">. </w:t>
      </w:r>
    </w:p>
    <w:p w14:paraId="4EAE5E1D" w14:textId="77777777" w:rsidR="00D126A9" w:rsidRPr="001D7672" w:rsidRDefault="00D126A9" w:rsidP="00D1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По 4 контурны</w:t>
      </w:r>
      <w:r w:rsidR="00383109" w:rsidRPr="001D7672">
        <w:rPr>
          <w:rFonts w:ascii="Times New Roman" w:hAnsi="Times New Roman"/>
          <w:sz w:val="28"/>
          <w:szCs w:val="28"/>
        </w:rPr>
        <w:t>е</w:t>
      </w:r>
      <w:r w:rsidRPr="001D7672">
        <w:rPr>
          <w:rFonts w:ascii="Times New Roman" w:hAnsi="Times New Roman"/>
          <w:sz w:val="28"/>
          <w:szCs w:val="28"/>
        </w:rPr>
        <w:t xml:space="preserve"> ячейковы</w:t>
      </w:r>
      <w:r w:rsidR="00383109" w:rsidRPr="001D7672">
        <w:rPr>
          <w:rFonts w:ascii="Times New Roman" w:hAnsi="Times New Roman"/>
          <w:sz w:val="28"/>
          <w:szCs w:val="28"/>
        </w:rPr>
        <w:t>е</w:t>
      </w:r>
      <w:r w:rsidRPr="001D7672">
        <w:rPr>
          <w:rFonts w:ascii="Times New Roman" w:hAnsi="Times New Roman"/>
          <w:sz w:val="28"/>
          <w:szCs w:val="28"/>
        </w:rPr>
        <w:t xml:space="preserve"> упаков</w:t>
      </w:r>
      <w:r w:rsidR="00383109" w:rsidRPr="001D7672">
        <w:rPr>
          <w:rFonts w:ascii="Times New Roman" w:hAnsi="Times New Roman"/>
          <w:sz w:val="28"/>
          <w:szCs w:val="28"/>
        </w:rPr>
        <w:t>ки</w:t>
      </w:r>
      <w:r w:rsidRPr="001D7672">
        <w:rPr>
          <w:rFonts w:ascii="Times New Roman" w:hAnsi="Times New Roman"/>
          <w:sz w:val="28"/>
          <w:szCs w:val="28"/>
        </w:rPr>
        <w:t xml:space="preserve"> вместе с инструкцией по </w:t>
      </w:r>
      <w:r w:rsidR="00FA5CE3" w:rsidRPr="001D7672">
        <w:rPr>
          <w:rFonts w:ascii="Times New Roman" w:hAnsi="Times New Roman"/>
          <w:sz w:val="28"/>
          <w:szCs w:val="28"/>
        </w:rPr>
        <w:t>медицинскому</w:t>
      </w:r>
      <w:r w:rsidRPr="001D7672">
        <w:rPr>
          <w:rFonts w:ascii="Times New Roman" w:hAnsi="Times New Roman"/>
          <w:sz w:val="28"/>
          <w:szCs w:val="28"/>
        </w:rPr>
        <w:t xml:space="preserve"> применению на казахском и русском языках помещают в пачку из картона.</w:t>
      </w:r>
    </w:p>
    <w:p w14:paraId="125D5E99" w14:textId="77777777" w:rsidR="00FA5CE3" w:rsidRPr="001D7672" w:rsidRDefault="00FA5CE3" w:rsidP="00D1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2C1D1" w14:textId="77777777" w:rsidR="00844CE8" w:rsidRPr="001D7672" w:rsidRDefault="00844CE8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1D7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BD2252D" w14:textId="77777777" w:rsidR="00FE1E41" w:rsidRPr="001D7672" w:rsidRDefault="00D126A9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1E41" w:rsidRPr="001D76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07E8F64F" w14:textId="77777777" w:rsidR="000E01AB" w:rsidRPr="001D7672" w:rsidRDefault="00D14D61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1D7672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1D7672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1D7672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0F3DE8B4" w14:textId="77777777" w:rsidR="00FA5CE3" w:rsidRPr="001D7672" w:rsidRDefault="00FA5CE3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14F71D" w14:textId="77777777" w:rsidR="000E01AB" w:rsidRPr="001D7672" w:rsidRDefault="00D14D61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6" w:name="2175220288"/>
      <w:bookmarkEnd w:id="15"/>
      <w:r w:rsidRPr="001D767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6"/>
    <w:p w14:paraId="2058F671" w14:textId="77777777" w:rsidR="00FE1E41" w:rsidRPr="001D7672" w:rsidRDefault="00FE1E41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Х</w:t>
      </w:r>
      <w:r w:rsidR="00D42584" w:rsidRPr="001D7672">
        <w:rPr>
          <w:rFonts w:ascii="Times New Roman" w:hAnsi="Times New Roman"/>
          <w:sz w:val="28"/>
          <w:szCs w:val="28"/>
        </w:rPr>
        <w:t>ранить при температуре не выше 30</w:t>
      </w:r>
      <w:r w:rsidRPr="001D7672">
        <w:rPr>
          <w:rStyle w:val="afa"/>
          <w:rFonts w:ascii="Times New Roman" w:hAnsi="Times New Roman"/>
          <w:b w:val="0"/>
          <w:sz w:val="28"/>
          <w:szCs w:val="28"/>
        </w:rPr>
        <w:t xml:space="preserve"> </w:t>
      </w:r>
      <w:r w:rsidRPr="001D7672">
        <w:rPr>
          <w:rStyle w:val="afa"/>
          <w:rFonts w:ascii="Times New Roman" w:hAnsi="Times New Roman"/>
          <w:b w:val="0"/>
          <w:sz w:val="28"/>
          <w:szCs w:val="28"/>
          <w:vertAlign w:val="superscript"/>
        </w:rPr>
        <w:t>0</w:t>
      </w:r>
      <w:r w:rsidRPr="001D7672">
        <w:rPr>
          <w:rStyle w:val="afa"/>
          <w:rFonts w:ascii="Times New Roman" w:hAnsi="Times New Roman"/>
          <w:b w:val="0"/>
          <w:sz w:val="28"/>
          <w:szCs w:val="28"/>
        </w:rPr>
        <w:t>C</w:t>
      </w:r>
      <w:r w:rsidRPr="001D7672">
        <w:rPr>
          <w:rFonts w:ascii="Times New Roman" w:hAnsi="Times New Roman"/>
          <w:sz w:val="28"/>
          <w:szCs w:val="28"/>
        </w:rPr>
        <w:t>.</w:t>
      </w:r>
    </w:p>
    <w:p w14:paraId="0FF31DE7" w14:textId="77777777" w:rsidR="00FE1E41" w:rsidRPr="001D7672" w:rsidRDefault="00FE1E41" w:rsidP="00173EB9">
      <w:pPr>
        <w:pStyle w:val="ac"/>
        <w:rPr>
          <w:rFonts w:ascii="Times New Roman" w:hAnsi="Times New Roman"/>
          <w:sz w:val="28"/>
          <w:szCs w:val="28"/>
        </w:rPr>
      </w:pPr>
      <w:r w:rsidRPr="001D7672">
        <w:rPr>
          <w:rFonts w:ascii="Times New Roman" w:hAnsi="Times New Roman"/>
          <w:sz w:val="28"/>
          <w:szCs w:val="28"/>
        </w:rPr>
        <w:t>Хранить в недоступном для детей месте!</w:t>
      </w:r>
    </w:p>
    <w:p w14:paraId="7CCEDA04" w14:textId="77777777" w:rsidR="006B7A90" w:rsidRPr="001D7672" w:rsidRDefault="006B7A90" w:rsidP="00173EB9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8EC703" w14:textId="77777777" w:rsidR="006C6558" w:rsidRPr="001D7672" w:rsidRDefault="006C6558" w:rsidP="00173E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7672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4E7585CC" w14:textId="77777777" w:rsidR="00FE1E41" w:rsidRPr="001D7672" w:rsidRDefault="00FE1E41" w:rsidP="00173E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672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D9AB66F" w14:textId="77777777" w:rsidR="00FE1E41" w:rsidRPr="001D7672" w:rsidRDefault="00FE1E41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557334" w14:textId="77777777" w:rsidR="00D126A9" w:rsidRPr="00A0613E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val="en-US" w:eastAsia="cs-CZ"/>
        </w:rPr>
      </w:pPr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>Сведения</w:t>
      </w:r>
      <w:r w:rsidRPr="00A0613E">
        <w:rPr>
          <w:rFonts w:ascii="Times New Roman" w:eastAsia="Times New Roman" w:hAnsi="Times New Roman"/>
          <w:b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>о</w:t>
      </w:r>
      <w:r w:rsidRPr="00A0613E">
        <w:rPr>
          <w:rFonts w:ascii="Times New Roman" w:eastAsia="Times New Roman" w:hAnsi="Times New Roman"/>
          <w:b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>производителе</w:t>
      </w:r>
      <w:r w:rsidRPr="00A0613E">
        <w:rPr>
          <w:rFonts w:ascii="Times New Roman" w:eastAsia="Times New Roman" w:hAnsi="Times New Roman"/>
          <w:b/>
          <w:color w:val="000000"/>
          <w:sz w:val="28"/>
          <w:szCs w:val="20"/>
          <w:lang w:val="en-US" w:eastAsia="cs-CZ"/>
        </w:rPr>
        <w:t xml:space="preserve"> </w:t>
      </w:r>
    </w:p>
    <w:p w14:paraId="0031522F" w14:textId="77777777" w:rsidR="00D126A9" w:rsidRPr="005A6BB6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BDR</w:t>
      </w:r>
      <w:r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Pharmaceuticals</w:t>
      </w:r>
      <w:r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International</w:t>
      </w:r>
      <w:r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Pvt</w:t>
      </w:r>
      <w:r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.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Ltd</w:t>
      </w:r>
      <w:r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.</w:t>
      </w:r>
      <w:r w:rsidR="005A6BB6"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</w:p>
    <w:p w14:paraId="7F2A82B4" w14:textId="77777777" w:rsidR="00D126A9" w:rsidRPr="00AC5942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R.S. No: 578, Near Effluent Chanel Road, Village: Luna, Taluka: Padra, District: Vadodara</w:t>
      </w:r>
      <w:r w:rsidR="0038310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/</w:t>
      </w:r>
      <w:proofErr w:type="spellStart"/>
      <w:r w:rsidR="0038310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Вадодара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– 391440.</w:t>
      </w:r>
      <w:r w:rsidR="0038310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Gujarat</w:t>
      </w:r>
      <w:r w:rsidR="005A6BB6"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, </w:t>
      </w:r>
      <w:r w:rsidR="005A6BB6"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Индия</w:t>
      </w:r>
    </w:p>
    <w:p w14:paraId="1CE524FC" w14:textId="77777777" w:rsidR="00D126A9" w:rsidRPr="00AC5942" w:rsidRDefault="00D126A9" w:rsidP="00D126A9">
      <w:pPr>
        <w:spacing w:after="0" w:line="240" w:lineRule="auto"/>
        <w:jc w:val="both"/>
        <w:rPr>
          <w:rFonts w:ascii="Times New Roman" w:eastAsia="Consolas" w:hAnsi="Times New Roman"/>
          <w:sz w:val="28"/>
          <w:szCs w:val="28"/>
          <w:lang w:val="en-US"/>
        </w:rPr>
      </w:pPr>
      <w:r w:rsidRPr="001D7672">
        <w:rPr>
          <w:rFonts w:ascii="Times New Roman" w:eastAsia="Consolas" w:hAnsi="Times New Roman"/>
          <w:sz w:val="28"/>
          <w:szCs w:val="28"/>
        </w:rPr>
        <w:t>Тел</w:t>
      </w:r>
      <w:r w:rsidRPr="00AC5942">
        <w:rPr>
          <w:rFonts w:ascii="Times New Roman" w:eastAsia="Consolas" w:hAnsi="Times New Roman"/>
          <w:sz w:val="28"/>
          <w:szCs w:val="28"/>
          <w:lang w:val="en-US"/>
        </w:rPr>
        <w:t xml:space="preserve">. </w:t>
      </w:r>
      <w:r w:rsidRPr="00AC5942">
        <w:rPr>
          <w:rFonts w:ascii="Times New Roman" w:eastAsia="Consolas" w:hAnsi="Times New Roman"/>
          <w:bCs/>
          <w:sz w:val="28"/>
          <w:szCs w:val="28"/>
          <w:lang w:val="en-US"/>
        </w:rPr>
        <w:t>+91 22 4056 0560</w:t>
      </w:r>
    </w:p>
    <w:p w14:paraId="1DC8A77F" w14:textId="77777777" w:rsidR="00D126A9" w:rsidRDefault="003A121D" w:rsidP="00D126A9">
      <w:pPr>
        <w:spacing w:after="0" w:line="240" w:lineRule="auto"/>
        <w:jc w:val="both"/>
        <w:rPr>
          <w:rStyle w:val="af"/>
          <w:rFonts w:ascii="Times New Roman" w:eastAsia="Consolas" w:hAnsi="Times New Roman"/>
          <w:bCs/>
          <w:sz w:val="28"/>
          <w:szCs w:val="28"/>
          <w:lang w:val="en-US"/>
        </w:rPr>
      </w:pPr>
      <w:hyperlink r:id="rId9" w:history="1">
        <w:r w:rsidR="00FA5CE3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bdrpharma</w:t>
        </w:r>
        <w:r w:rsidR="00FA5CE3" w:rsidRPr="00AC594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@</w:t>
        </w:r>
        <w:r w:rsidR="00FA5CE3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vsnl</w:t>
        </w:r>
        <w:r w:rsidR="00FA5CE3" w:rsidRPr="00AC594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.</w:t>
        </w:r>
        <w:r w:rsidR="00FA5CE3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com</w:t>
        </w:r>
      </w:hyperlink>
    </w:p>
    <w:p w14:paraId="35CE85B5" w14:textId="77777777" w:rsidR="00FC6CB5" w:rsidRDefault="00FC6CB5" w:rsidP="00D126A9">
      <w:pPr>
        <w:spacing w:after="0" w:line="240" w:lineRule="auto"/>
        <w:jc w:val="both"/>
        <w:rPr>
          <w:rStyle w:val="af"/>
          <w:rFonts w:ascii="Times New Roman" w:eastAsia="Consolas" w:hAnsi="Times New Roman"/>
          <w:bCs/>
          <w:sz w:val="28"/>
          <w:szCs w:val="28"/>
          <w:lang w:val="en-US"/>
        </w:rPr>
      </w:pPr>
    </w:p>
    <w:p w14:paraId="4EEC5109" w14:textId="77777777" w:rsidR="00FC6CB5" w:rsidRPr="00AC5942" w:rsidRDefault="00FC6CB5" w:rsidP="00D126A9">
      <w:pPr>
        <w:spacing w:after="0" w:line="240" w:lineRule="auto"/>
        <w:jc w:val="both"/>
        <w:rPr>
          <w:rFonts w:ascii="Times New Roman" w:eastAsia="Consolas" w:hAnsi="Times New Roman"/>
          <w:b/>
          <w:sz w:val="28"/>
          <w:szCs w:val="28"/>
          <w:lang w:val="en-US"/>
        </w:rPr>
      </w:pPr>
      <w:r w:rsidRPr="00FC6CB5">
        <w:rPr>
          <w:rFonts w:ascii="Times New Roman" w:eastAsia="Consolas" w:hAnsi="Times New Roman"/>
          <w:b/>
          <w:sz w:val="28"/>
          <w:szCs w:val="28"/>
        </w:rPr>
        <w:t>Держатель</w:t>
      </w:r>
      <w:r w:rsidRPr="00AC5942">
        <w:rPr>
          <w:rFonts w:ascii="Times New Roman" w:eastAsia="Consolas" w:hAnsi="Times New Roman"/>
          <w:b/>
          <w:sz w:val="28"/>
          <w:szCs w:val="28"/>
          <w:lang w:val="en-US"/>
        </w:rPr>
        <w:t xml:space="preserve"> </w:t>
      </w:r>
      <w:r w:rsidRPr="00FC6CB5">
        <w:rPr>
          <w:rFonts w:ascii="Times New Roman" w:eastAsia="Consolas" w:hAnsi="Times New Roman"/>
          <w:b/>
          <w:sz w:val="28"/>
          <w:szCs w:val="28"/>
        </w:rPr>
        <w:t>регистрационного</w:t>
      </w:r>
      <w:r w:rsidRPr="00AC5942">
        <w:rPr>
          <w:rFonts w:ascii="Times New Roman" w:eastAsia="Consolas" w:hAnsi="Times New Roman"/>
          <w:b/>
          <w:sz w:val="28"/>
          <w:szCs w:val="28"/>
          <w:lang w:val="en-US"/>
        </w:rPr>
        <w:t xml:space="preserve"> </w:t>
      </w:r>
      <w:r w:rsidRPr="00FC6CB5">
        <w:rPr>
          <w:rFonts w:ascii="Times New Roman" w:eastAsia="Consolas" w:hAnsi="Times New Roman"/>
          <w:b/>
          <w:sz w:val="28"/>
          <w:szCs w:val="28"/>
        </w:rPr>
        <w:t>удостоверения</w:t>
      </w:r>
    </w:p>
    <w:p w14:paraId="5AEDAFC4" w14:textId="77777777" w:rsidR="00FC6CB5" w:rsidRPr="00FC6CB5" w:rsidRDefault="00FC6CB5" w:rsidP="00FC6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BDR</w:t>
      </w:r>
      <w:r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Pharmaceuticals</w:t>
      </w:r>
      <w:r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International</w:t>
      </w:r>
      <w:r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Pvt</w:t>
      </w:r>
      <w:r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.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Ltd</w:t>
      </w:r>
      <w:r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.</w:t>
      </w:r>
      <w:r w:rsidR="005A6BB6" w:rsidRPr="005A6BB6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</w:p>
    <w:p w14:paraId="6B7CE8D0" w14:textId="77777777" w:rsidR="00FC6CB5" w:rsidRPr="001D7672" w:rsidRDefault="00FC6CB5" w:rsidP="00FC6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R.S. No: 578, Near Effluent Chanel Road, Village: Luna, Taluka: Padra, District: Vadodara/</w:t>
      </w:r>
      <w:proofErr w:type="spellStart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Вадодара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– 391440. Gujarat</w:t>
      </w:r>
      <w:r w:rsidR="005A6BB6" w:rsidRPr="00A0613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</w:t>
      </w:r>
      <w:r w:rsidR="005A6BB6" w:rsidRPr="00FC6CB5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Индия</w:t>
      </w:r>
    </w:p>
    <w:p w14:paraId="31FC6202" w14:textId="77777777" w:rsidR="00FC6CB5" w:rsidRPr="001D7672" w:rsidRDefault="00FC6CB5" w:rsidP="00FC6CB5">
      <w:pPr>
        <w:spacing w:after="0" w:line="240" w:lineRule="auto"/>
        <w:jc w:val="both"/>
        <w:rPr>
          <w:rFonts w:ascii="Times New Roman" w:eastAsia="Consolas" w:hAnsi="Times New Roman"/>
          <w:sz w:val="28"/>
          <w:szCs w:val="28"/>
        </w:rPr>
      </w:pPr>
      <w:r w:rsidRPr="001D7672">
        <w:rPr>
          <w:rFonts w:ascii="Times New Roman" w:eastAsia="Consolas" w:hAnsi="Times New Roman"/>
          <w:sz w:val="28"/>
          <w:szCs w:val="28"/>
        </w:rPr>
        <w:t xml:space="preserve">Тел. </w:t>
      </w:r>
      <w:r w:rsidRPr="001D7672">
        <w:rPr>
          <w:rFonts w:ascii="Times New Roman" w:eastAsia="Consolas" w:hAnsi="Times New Roman"/>
          <w:bCs/>
          <w:sz w:val="28"/>
          <w:szCs w:val="28"/>
        </w:rPr>
        <w:t>+91 22 4056 0560</w:t>
      </w:r>
    </w:p>
    <w:p w14:paraId="3A48B6AD" w14:textId="77777777" w:rsidR="00FC6CB5" w:rsidRPr="00AC5942" w:rsidRDefault="003A121D" w:rsidP="00D126A9">
      <w:pPr>
        <w:spacing w:after="0" w:line="240" w:lineRule="auto"/>
        <w:jc w:val="both"/>
        <w:rPr>
          <w:rFonts w:ascii="Times New Roman" w:eastAsia="Consolas" w:hAnsi="Times New Roman"/>
          <w:bCs/>
          <w:color w:val="0000FF"/>
          <w:sz w:val="28"/>
          <w:szCs w:val="28"/>
          <w:u w:val="single"/>
        </w:rPr>
      </w:pPr>
      <w:hyperlink r:id="rId10" w:history="1">
        <w:r w:rsidR="00FC6CB5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bdrpharma</w:t>
        </w:r>
        <w:r w:rsidR="00FC6CB5" w:rsidRPr="001D7672">
          <w:rPr>
            <w:rStyle w:val="af"/>
            <w:rFonts w:ascii="Times New Roman" w:eastAsia="Consolas" w:hAnsi="Times New Roman"/>
            <w:bCs/>
            <w:sz w:val="28"/>
            <w:szCs w:val="28"/>
          </w:rPr>
          <w:t>@</w:t>
        </w:r>
        <w:r w:rsidR="00FC6CB5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vsnl</w:t>
        </w:r>
        <w:r w:rsidR="00FC6CB5" w:rsidRPr="001D7672">
          <w:rPr>
            <w:rStyle w:val="af"/>
            <w:rFonts w:ascii="Times New Roman" w:eastAsia="Consolas" w:hAnsi="Times New Roman"/>
            <w:bCs/>
            <w:sz w:val="28"/>
            <w:szCs w:val="28"/>
          </w:rPr>
          <w:t>.</w:t>
        </w:r>
        <w:r w:rsidR="00FC6CB5" w:rsidRPr="001D7672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com</w:t>
        </w:r>
      </w:hyperlink>
    </w:p>
    <w:p w14:paraId="1294DD6C" w14:textId="77777777" w:rsidR="00FA5CE3" w:rsidRPr="001D7672" w:rsidRDefault="00FA5CE3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</w:pPr>
    </w:p>
    <w:p w14:paraId="73FF3227" w14:textId="77777777" w:rsidR="00D126A9" w:rsidRPr="001D7672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</w:pP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Наименование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, адрес и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контактные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данные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(телефон, факс,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электронная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почта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)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организации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 xml:space="preserve">, принимающей претензии (предложения) по качеству лекарственного средства от потребителей </w:t>
      </w:r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на </w:t>
      </w:r>
      <w:proofErr w:type="spellStart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территории</w:t>
      </w:r>
      <w:proofErr w:type="spellEnd"/>
      <w:r w:rsidRPr="001D7672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 xml:space="preserve"> Республики Казахстан</w:t>
      </w:r>
    </w:p>
    <w:p w14:paraId="2033EBAB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ТОО «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Rogers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Pharma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»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Республика Казахстан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050043, </w:t>
      </w:r>
    </w:p>
    <w:p w14:paraId="02E4CF60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г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Мирас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157, блок 2, </w:t>
      </w:r>
      <w:proofErr w:type="spellStart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н.п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. 819.</w:t>
      </w:r>
    </w:p>
    <w:p w14:paraId="1EF43798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Тел. </w:t>
      </w:r>
      <w:r w:rsidR="00DD7F92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+7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(727) 311-81-96/97, </w:t>
      </w:r>
    </w:p>
    <w:p w14:paraId="1A059206" w14:textId="77777777" w:rsidR="00FA5CE3" w:rsidRPr="001D7672" w:rsidRDefault="003A121D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  <w:hyperlink r:id="rId11" w:history="1"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office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secretary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proofErr w:type="spellStart"/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rogersgroup</w:t>
        </w:r>
        <w:proofErr w:type="spellEnd"/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in</w:t>
        </w:r>
      </w:hyperlink>
    </w:p>
    <w:p w14:paraId="62BFA574" w14:textId="77777777" w:rsidR="00FA5CE3" w:rsidRPr="001D7672" w:rsidRDefault="00FA5CE3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</w:p>
    <w:p w14:paraId="6D3B3299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  <w:t xml:space="preserve">на территории Республики </w:t>
      </w:r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  <w:lastRenderedPageBreak/>
        <w:t xml:space="preserve">Казахстан,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ответственной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пострегистрационное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наблюдение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безопасностью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лекарственного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средства</w:t>
      </w:r>
      <w:proofErr w:type="spellEnd"/>
      <w:r w:rsidRPr="001D7672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</w:p>
    <w:p w14:paraId="13110129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Республика Казахстан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>, 050043</w:t>
      </w:r>
    </w:p>
    <w:p w14:paraId="0E6632D3" w14:textId="77777777" w:rsidR="00D126A9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г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 w:rsidR="0038310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ирас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157, блок 2, </w:t>
      </w:r>
      <w:proofErr w:type="spellStart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н.п</w:t>
      </w:r>
      <w:proofErr w:type="spellEnd"/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. 819.</w:t>
      </w:r>
    </w:p>
    <w:p w14:paraId="01B89396" w14:textId="77777777" w:rsidR="00D126A9" w:rsidRPr="001D7672" w:rsidRDefault="005A6BB6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ИП </w:t>
      </w:r>
      <w:proofErr w:type="spellStart"/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Канумуру</w:t>
      </w:r>
      <w:proofErr w:type="spellEnd"/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И. Г.</w:t>
      </w:r>
    </w:p>
    <w:p w14:paraId="2102872F" w14:textId="77777777" w:rsidR="002551A5" w:rsidRPr="001D7672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Тел. </w:t>
      </w:r>
      <w:r w:rsidR="00DE7562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+7 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(727) 311-81-96/97, </w:t>
      </w:r>
    </w:p>
    <w:p w14:paraId="7908D790" w14:textId="77777777" w:rsidR="00D126A9" w:rsidRPr="001D7672" w:rsidRDefault="002551A5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Телефон с 24-х часовой доступностью: </w:t>
      </w:r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+7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 </w:t>
      </w:r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747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 </w:t>
      </w:r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991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19</w:t>
      </w:r>
      <w:r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="00D126A9" w:rsidRPr="001D7672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04</w:t>
      </w:r>
    </w:p>
    <w:p w14:paraId="634296B6" w14:textId="77777777" w:rsidR="00D126A9" w:rsidRPr="0040555E" w:rsidRDefault="003A121D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hyperlink r:id="rId12" w:history="1"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irina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volovnikova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proofErr w:type="spellStart"/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gmail</w:t>
        </w:r>
        <w:proofErr w:type="spellEnd"/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1D7672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com</w:t>
        </w:r>
      </w:hyperlink>
    </w:p>
    <w:p w14:paraId="0C9CB76F" w14:textId="77777777" w:rsidR="00EE202A" w:rsidRPr="007365A8" w:rsidRDefault="00EE202A" w:rsidP="00EE20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cs-CZ" w:eastAsia="ru-RU"/>
        </w:rPr>
      </w:pPr>
    </w:p>
    <w:p w14:paraId="7335E5B4" w14:textId="2D406CC1" w:rsidR="00011906" w:rsidRDefault="00011906"/>
    <w:sectPr w:rsidR="00011906" w:rsidSect="00173EB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1E1B" w14:textId="77777777" w:rsidR="003A121D" w:rsidRDefault="003A121D" w:rsidP="00D275FC">
      <w:pPr>
        <w:spacing w:after="0" w:line="240" w:lineRule="auto"/>
      </w:pPr>
      <w:r>
        <w:separator/>
      </w:r>
    </w:p>
  </w:endnote>
  <w:endnote w:type="continuationSeparator" w:id="0">
    <w:p w14:paraId="5A95C60A" w14:textId="77777777" w:rsidR="003A121D" w:rsidRDefault="003A121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E6D9" w14:textId="77777777" w:rsidR="009D472B" w:rsidRDefault="003A121D"/>
  <w:p w14:paraId="28E8F298" w14:textId="77777777" w:rsidR="00011906" w:rsidRDefault="003A121D">
    <w:r>
      <w:rPr>
        <w:rFonts w:ascii="Times New Roman" w:eastAsia="Times New Roman" w:hAnsi="Times New Roman"/>
      </w:rPr>
      <w:t>Решение: N087411</w:t>
    </w:r>
    <w:r>
      <w:rPr>
        <w:rFonts w:ascii="Times New Roman" w:eastAsia="Times New Roman" w:hAnsi="Times New Roman"/>
      </w:rPr>
      <w:br/>
      <w:t>Дата решения: 11.07.2025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</w:t>
    </w:r>
    <w:r>
      <w:rPr>
        <w:rFonts w:ascii="Times New Roman" w:eastAsia="Times New Roman" w:hAnsi="Times New Roman"/>
      </w:rPr>
      <w:t>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</w:t>
    </w:r>
    <w:r>
      <w:rPr>
        <w:rFonts w:ascii="Times New Roman" w:eastAsia="Times New Roman" w:hAnsi="Times New Roman"/>
      </w:rPr>
      <w:t>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0948" w14:textId="77777777" w:rsidR="009D472B" w:rsidRDefault="003A121D"/>
  <w:p w14:paraId="41F0FAFA" w14:textId="20065039" w:rsidR="00011906" w:rsidRDefault="000119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05D9" w14:textId="77777777" w:rsidR="009D472B" w:rsidRDefault="003A121D"/>
  <w:p w14:paraId="6BA1313E" w14:textId="77777777" w:rsidR="00011906" w:rsidRDefault="003A121D">
    <w:r>
      <w:rPr>
        <w:rFonts w:ascii="Times New Roman" w:eastAsia="Times New Roman" w:hAnsi="Times New Roman"/>
      </w:rPr>
      <w:t>Решение: N087411</w:t>
    </w:r>
    <w:r>
      <w:rPr>
        <w:rFonts w:ascii="Times New Roman" w:eastAsia="Times New Roman" w:hAnsi="Times New Roman"/>
      </w:rPr>
      <w:br/>
      <w:t>Дата решения: 11.07.2025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Байтубаев Е</w:t>
    </w:r>
    <w:r>
      <w:rPr>
        <w:rFonts w:ascii="Times New Roman" w:eastAsia="Times New Roman" w:hAnsi="Times New Roman"/>
      </w:rPr>
      <w:t>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 xml:space="preserve">Данный документ согласно пункту 1 статьи 7 ЗРК от 7 января 2003 года «Об электронном документе и электронной цифровой подписи» равнозначен документу </w:t>
    </w:r>
    <w:r>
      <w:rPr>
        <w:rFonts w:ascii="Times New Roman" w:eastAsia="Times New Roman" w:hAnsi="Times New Roman"/>
      </w:rPr>
      <w:t>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B0F7" w14:textId="77777777" w:rsidR="003A121D" w:rsidRDefault="003A121D" w:rsidP="00D275FC">
      <w:pPr>
        <w:spacing w:after="0" w:line="240" w:lineRule="auto"/>
      </w:pPr>
      <w:r>
        <w:separator/>
      </w:r>
    </w:p>
  </w:footnote>
  <w:footnote w:type="continuationSeparator" w:id="0">
    <w:p w14:paraId="7FC9B57B" w14:textId="77777777" w:rsidR="003A121D" w:rsidRDefault="003A121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60C4" w14:textId="77777777" w:rsidR="00D275FC" w:rsidRDefault="00A27DA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9AFE16" wp14:editId="3E1282C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2F348D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AFE1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72F348D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11906"/>
    <w:rsid w:val="0001509A"/>
    <w:rsid w:val="000264BB"/>
    <w:rsid w:val="000274FB"/>
    <w:rsid w:val="00033FC1"/>
    <w:rsid w:val="00037F8F"/>
    <w:rsid w:val="00042999"/>
    <w:rsid w:val="000451BB"/>
    <w:rsid w:val="00055E42"/>
    <w:rsid w:val="000852A1"/>
    <w:rsid w:val="000972E6"/>
    <w:rsid w:val="000A0D71"/>
    <w:rsid w:val="000B3CBE"/>
    <w:rsid w:val="000B52E8"/>
    <w:rsid w:val="000C06CC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221BA"/>
    <w:rsid w:val="00132B9A"/>
    <w:rsid w:val="001368AE"/>
    <w:rsid w:val="00143E97"/>
    <w:rsid w:val="00144CCD"/>
    <w:rsid w:val="00147062"/>
    <w:rsid w:val="0014739A"/>
    <w:rsid w:val="0015490C"/>
    <w:rsid w:val="001573E2"/>
    <w:rsid w:val="0016278D"/>
    <w:rsid w:val="0016305E"/>
    <w:rsid w:val="00173EB9"/>
    <w:rsid w:val="00176C8E"/>
    <w:rsid w:val="001843CC"/>
    <w:rsid w:val="001937AD"/>
    <w:rsid w:val="001A2CB2"/>
    <w:rsid w:val="001B15BC"/>
    <w:rsid w:val="001B4B94"/>
    <w:rsid w:val="001B6AEC"/>
    <w:rsid w:val="001D4746"/>
    <w:rsid w:val="001D6CC7"/>
    <w:rsid w:val="001D7672"/>
    <w:rsid w:val="001E11B3"/>
    <w:rsid w:val="001E6F4C"/>
    <w:rsid w:val="001F16AA"/>
    <w:rsid w:val="001F25EB"/>
    <w:rsid w:val="001F5C6A"/>
    <w:rsid w:val="00203355"/>
    <w:rsid w:val="00211005"/>
    <w:rsid w:val="00214C87"/>
    <w:rsid w:val="00217D41"/>
    <w:rsid w:val="00222CA6"/>
    <w:rsid w:val="002270A6"/>
    <w:rsid w:val="00232642"/>
    <w:rsid w:val="00237697"/>
    <w:rsid w:val="002425A8"/>
    <w:rsid w:val="002431C2"/>
    <w:rsid w:val="00246CE4"/>
    <w:rsid w:val="00250EDB"/>
    <w:rsid w:val="002551A5"/>
    <w:rsid w:val="00256E10"/>
    <w:rsid w:val="00260413"/>
    <w:rsid w:val="00260EBC"/>
    <w:rsid w:val="00264710"/>
    <w:rsid w:val="002667CE"/>
    <w:rsid w:val="00266F5E"/>
    <w:rsid w:val="00267567"/>
    <w:rsid w:val="00270B0A"/>
    <w:rsid w:val="00281FBE"/>
    <w:rsid w:val="00287022"/>
    <w:rsid w:val="00290D2E"/>
    <w:rsid w:val="00292715"/>
    <w:rsid w:val="002A2913"/>
    <w:rsid w:val="002A591C"/>
    <w:rsid w:val="002B2BE3"/>
    <w:rsid w:val="002B3270"/>
    <w:rsid w:val="002B43BB"/>
    <w:rsid w:val="002C10E1"/>
    <w:rsid w:val="002C15EB"/>
    <w:rsid w:val="002C1660"/>
    <w:rsid w:val="002C35A2"/>
    <w:rsid w:val="002C3A80"/>
    <w:rsid w:val="002C5345"/>
    <w:rsid w:val="002C76D7"/>
    <w:rsid w:val="002D2301"/>
    <w:rsid w:val="002D56B7"/>
    <w:rsid w:val="002E0BAD"/>
    <w:rsid w:val="002F4A14"/>
    <w:rsid w:val="00302607"/>
    <w:rsid w:val="003043BF"/>
    <w:rsid w:val="0031673B"/>
    <w:rsid w:val="00320073"/>
    <w:rsid w:val="003262DF"/>
    <w:rsid w:val="00345963"/>
    <w:rsid w:val="0035711E"/>
    <w:rsid w:val="0036288F"/>
    <w:rsid w:val="003629BB"/>
    <w:rsid w:val="00365B10"/>
    <w:rsid w:val="003662F1"/>
    <w:rsid w:val="00367BA7"/>
    <w:rsid w:val="003761C0"/>
    <w:rsid w:val="003812B2"/>
    <w:rsid w:val="00383109"/>
    <w:rsid w:val="00383CDB"/>
    <w:rsid w:val="00384F08"/>
    <w:rsid w:val="003879F9"/>
    <w:rsid w:val="003A035E"/>
    <w:rsid w:val="003A121D"/>
    <w:rsid w:val="003B0285"/>
    <w:rsid w:val="003C724A"/>
    <w:rsid w:val="003E13CF"/>
    <w:rsid w:val="003F4BF6"/>
    <w:rsid w:val="003F5344"/>
    <w:rsid w:val="003F7EDC"/>
    <w:rsid w:val="00403BB0"/>
    <w:rsid w:val="00404548"/>
    <w:rsid w:val="0040555E"/>
    <w:rsid w:val="0041162E"/>
    <w:rsid w:val="00417EC9"/>
    <w:rsid w:val="0042786D"/>
    <w:rsid w:val="00433C62"/>
    <w:rsid w:val="00434D01"/>
    <w:rsid w:val="00441B50"/>
    <w:rsid w:val="00465748"/>
    <w:rsid w:val="00465C06"/>
    <w:rsid w:val="00472EF5"/>
    <w:rsid w:val="00476861"/>
    <w:rsid w:val="00484C54"/>
    <w:rsid w:val="004860EA"/>
    <w:rsid w:val="0048687C"/>
    <w:rsid w:val="004A31B4"/>
    <w:rsid w:val="004A37F9"/>
    <w:rsid w:val="004A451E"/>
    <w:rsid w:val="004C1922"/>
    <w:rsid w:val="004C462F"/>
    <w:rsid w:val="004C5562"/>
    <w:rsid w:val="004D1328"/>
    <w:rsid w:val="004D49E9"/>
    <w:rsid w:val="004E7601"/>
    <w:rsid w:val="004F492F"/>
    <w:rsid w:val="005071DA"/>
    <w:rsid w:val="00507E57"/>
    <w:rsid w:val="00512C02"/>
    <w:rsid w:val="00523D82"/>
    <w:rsid w:val="00541A00"/>
    <w:rsid w:val="005444B2"/>
    <w:rsid w:val="00552F8B"/>
    <w:rsid w:val="00561FE7"/>
    <w:rsid w:val="005625E9"/>
    <w:rsid w:val="005651E9"/>
    <w:rsid w:val="00575348"/>
    <w:rsid w:val="0057683F"/>
    <w:rsid w:val="005779DE"/>
    <w:rsid w:val="00581DC8"/>
    <w:rsid w:val="005869C5"/>
    <w:rsid w:val="00587202"/>
    <w:rsid w:val="005A175D"/>
    <w:rsid w:val="005A3C81"/>
    <w:rsid w:val="005A5680"/>
    <w:rsid w:val="005A6639"/>
    <w:rsid w:val="005A6914"/>
    <w:rsid w:val="005A6BB6"/>
    <w:rsid w:val="005A7FA0"/>
    <w:rsid w:val="005B036E"/>
    <w:rsid w:val="005B3FFE"/>
    <w:rsid w:val="005C1519"/>
    <w:rsid w:val="005C1C4E"/>
    <w:rsid w:val="005C4A16"/>
    <w:rsid w:val="005C4B12"/>
    <w:rsid w:val="005D68C6"/>
    <w:rsid w:val="005D7EE3"/>
    <w:rsid w:val="005E50DE"/>
    <w:rsid w:val="005F336D"/>
    <w:rsid w:val="005F3E4F"/>
    <w:rsid w:val="005F7097"/>
    <w:rsid w:val="0060364A"/>
    <w:rsid w:val="00615251"/>
    <w:rsid w:val="0061650D"/>
    <w:rsid w:val="00617843"/>
    <w:rsid w:val="00620F34"/>
    <w:rsid w:val="00624C1B"/>
    <w:rsid w:val="00625471"/>
    <w:rsid w:val="00627853"/>
    <w:rsid w:val="00633EE7"/>
    <w:rsid w:val="00634D0C"/>
    <w:rsid w:val="00652BCE"/>
    <w:rsid w:val="00652E29"/>
    <w:rsid w:val="00653617"/>
    <w:rsid w:val="006703A5"/>
    <w:rsid w:val="0067136B"/>
    <w:rsid w:val="00671E0E"/>
    <w:rsid w:val="00674CE0"/>
    <w:rsid w:val="00691208"/>
    <w:rsid w:val="00693014"/>
    <w:rsid w:val="0069604B"/>
    <w:rsid w:val="006A23C4"/>
    <w:rsid w:val="006A702E"/>
    <w:rsid w:val="006B78DC"/>
    <w:rsid w:val="006B7A90"/>
    <w:rsid w:val="006C577B"/>
    <w:rsid w:val="006C5F38"/>
    <w:rsid w:val="006C6558"/>
    <w:rsid w:val="006D7D5A"/>
    <w:rsid w:val="006E4305"/>
    <w:rsid w:val="006F5763"/>
    <w:rsid w:val="00700EC8"/>
    <w:rsid w:val="00704BAB"/>
    <w:rsid w:val="007104D1"/>
    <w:rsid w:val="007135A6"/>
    <w:rsid w:val="007147A9"/>
    <w:rsid w:val="007259C5"/>
    <w:rsid w:val="0072627C"/>
    <w:rsid w:val="00732F32"/>
    <w:rsid w:val="00733A73"/>
    <w:rsid w:val="00736B6C"/>
    <w:rsid w:val="00745CFF"/>
    <w:rsid w:val="00746FF2"/>
    <w:rsid w:val="00761133"/>
    <w:rsid w:val="00762596"/>
    <w:rsid w:val="00764E84"/>
    <w:rsid w:val="00765CB4"/>
    <w:rsid w:val="007705FA"/>
    <w:rsid w:val="007762F8"/>
    <w:rsid w:val="00780BCB"/>
    <w:rsid w:val="00783520"/>
    <w:rsid w:val="007841E2"/>
    <w:rsid w:val="00797E49"/>
    <w:rsid w:val="007A02D3"/>
    <w:rsid w:val="007A18B1"/>
    <w:rsid w:val="007A5C91"/>
    <w:rsid w:val="007A7955"/>
    <w:rsid w:val="007B6288"/>
    <w:rsid w:val="007C055A"/>
    <w:rsid w:val="007C1693"/>
    <w:rsid w:val="007D0E84"/>
    <w:rsid w:val="007D681B"/>
    <w:rsid w:val="007D718C"/>
    <w:rsid w:val="007E1D85"/>
    <w:rsid w:val="007E702A"/>
    <w:rsid w:val="00805FB8"/>
    <w:rsid w:val="0081154A"/>
    <w:rsid w:val="00820B36"/>
    <w:rsid w:val="00822B0B"/>
    <w:rsid w:val="00827BB2"/>
    <w:rsid w:val="008329DA"/>
    <w:rsid w:val="008330E7"/>
    <w:rsid w:val="008353A4"/>
    <w:rsid w:val="008372C6"/>
    <w:rsid w:val="0084262C"/>
    <w:rsid w:val="00844CE8"/>
    <w:rsid w:val="0084633D"/>
    <w:rsid w:val="00847154"/>
    <w:rsid w:val="0084785C"/>
    <w:rsid w:val="00860C26"/>
    <w:rsid w:val="00866423"/>
    <w:rsid w:val="0086657B"/>
    <w:rsid w:val="00875850"/>
    <w:rsid w:val="008832E5"/>
    <w:rsid w:val="00897669"/>
    <w:rsid w:val="008A5FF3"/>
    <w:rsid w:val="008B374B"/>
    <w:rsid w:val="008B501E"/>
    <w:rsid w:val="008C0181"/>
    <w:rsid w:val="008C425F"/>
    <w:rsid w:val="008D152D"/>
    <w:rsid w:val="008D4451"/>
    <w:rsid w:val="008D5BF9"/>
    <w:rsid w:val="008D62B7"/>
    <w:rsid w:val="008E1F10"/>
    <w:rsid w:val="008E6895"/>
    <w:rsid w:val="008F26F4"/>
    <w:rsid w:val="00900B3C"/>
    <w:rsid w:val="00904FB5"/>
    <w:rsid w:val="0091136C"/>
    <w:rsid w:val="009157ED"/>
    <w:rsid w:val="00920AF7"/>
    <w:rsid w:val="00930D7D"/>
    <w:rsid w:val="00940A78"/>
    <w:rsid w:val="00947B6F"/>
    <w:rsid w:val="0095047E"/>
    <w:rsid w:val="00956101"/>
    <w:rsid w:val="00962CD6"/>
    <w:rsid w:val="00970C96"/>
    <w:rsid w:val="0097577F"/>
    <w:rsid w:val="00993A60"/>
    <w:rsid w:val="00996F90"/>
    <w:rsid w:val="009A106A"/>
    <w:rsid w:val="009B014E"/>
    <w:rsid w:val="009B3F0A"/>
    <w:rsid w:val="009B424E"/>
    <w:rsid w:val="009D29E3"/>
    <w:rsid w:val="009D71D5"/>
    <w:rsid w:val="009E2887"/>
    <w:rsid w:val="009E5837"/>
    <w:rsid w:val="009E5CB9"/>
    <w:rsid w:val="009F31F2"/>
    <w:rsid w:val="009F45A5"/>
    <w:rsid w:val="00A01C2E"/>
    <w:rsid w:val="00A02BB2"/>
    <w:rsid w:val="00A04052"/>
    <w:rsid w:val="00A04638"/>
    <w:rsid w:val="00A0613E"/>
    <w:rsid w:val="00A12563"/>
    <w:rsid w:val="00A27DA0"/>
    <w:rsid w:val="00A44746"/>
    <w:rsid w:val="00A523A0"/>
    <w:rsid w:val="00A8185B"/>
    <w:rsid w:val="00A94ABA"/>
    <w:rsid w:val="00AA48AF"/>
    <w:rsid w:val="00AA5E2F"/>
    <w:rsid w:val="00AA7317"/>
    <w:rsid w:val="00AC2C0B"/>
    <w:rsid w:val="00AC4905"/>
    <w:rsid w:val="00AC5942"/>
    <w:rsid w:val="00AE35CE"/>
    <w:rsid w:val="00AE7922"/>
    <w:rsid w:val="00B01011"/>
    <w:rsid w:val="00B06829"/>
    <w:rsid w:val="00B11878"/>
    <w:rsid w:val="00B118D6"/>
    <w:rsid w:val="00B14FD6"/>
    <w:rsid w:val="00B21576"/>
    <w:rsid w:val="00B25701"/>
    <w:rsid w:val="00B46F30"/>
    <w:rsid w:val="00B512A0"/>
    <w:rsid w:val="00B5212C"/>
    <w:rsid w:val="00B54A22"/>
    <w:rsid w:val="00B608C1"/>
    <w:rsid w:val="00B60D3D"/>
    <w:rsid w:val="00B61D95"/>
    <w:rsid w:val="00B67A24"/>
    <w:rsid w:val="00B71FA4"/>
    <w:rsid w:val="00B9187F"/>
    <w:rsid w:val="00B96C47"/>
    <w:rsid w:val="00BA007C"/>
    <w:rsid w:val="00BA0677"/>
    <w:rsid w:val="00BB19BC"/>
    <w:rsid w:val="00BB3050"/>
    <w:rsid w:val="00BB7831"/>
    <w:rsid w:val="00BC31BC"/>
    <w:rsid w:val="00BC6167"/>
    <w:rsid w:val="00BE25AD"/>
    <w:rsid w:val="00BE2F5B"/>
    <w:rsid w:val="00BE4435"/>
    <w:rsid w:val="00BE6B71"/>
    <w:rsid w:val="00C07BB3"/>
    <w:rsid w:val="00C1086C"/>
    <w:rsid w:val="00C2000E"/>
    <w:rsid w:val="00C2469E"/>
    <w:rsid w:val="00C37618"/>
    <w:rsid w:val="00C379C9"/>
    <w:rsid w:val="00C422B8"/>
    <w:rsid w:val="00C43CA6"/>
    <w:rsid w:val="00C566D6"/>
    <w:rsid w:val="00C813C4"/>
    <w:rsid w:val="00C839ED"/>
    <w:rsid w:val="00C84299"/>
    <w:rsid w:val="00C92F14"/>
    <w:rsid w:val="00C9308C"/>
    <w:rsid w:val="00C97365"/>
    <w:rsid w:val="00CB0947"/>
    <w:rsid w:val="00CC08BA"/>
    <w:rsid w:val="00CC2775"/>
    <w:rsid w:val="00CC330A"/>
    <w:rsid w:val="00CC5727"/>
    <w:rsid w:val="00CC575F"/>
    <w:rsid w:val="00CC7DBD"/>
    <w:rsid w:val="00CD1E20"/>
    <w:rsid w:val="00CD41B7"/>
    <w:rsid w:val="00CF3849"/>
    <w:rsid w:val="00D0233C"/>
    <w:rsid w:val="00D066FC"/>
    <w:rsid w:val="00D11462"/>
    <w:rsid w:val="00D126A9"/>
    <w:rsid w:val="00D14D61"/>
    <w:rsid w:val="00D22A47"/>
    <w:rsid w:val="00D275FC"/>
    <w:rsid w:val="00D35373"/>
    <w:rsid w:val="00D3576E"/>
    <w:rsid w:val="00D42584"/>
    <w:rsid w:val="00D43297"/>
    <w:rsid w:val="00D46B0B"/>
    <w:rsid w:val="00D55ED8"/>
    <w:rsid w:val="00D60412"/>
    <w:rsid w:val="00D70DB6"/>
    <w:rsid w:val="00D76048"/>
    <w:rsid w:val="00D87E04"/>
    <w:rsid w:val="00D93C80"/>
    <w:rsid w:val="00D96A8F"/>
    <w:rsid w:val="00DA3232"/>
    <w:rsid w:val="00DB2D8C"/>
    <w:rsid w:val="00DB406A"/>
    <w:rsid w:val="00DB7211"/>
    <w:rsid w:val="00DD5DA4"/>
    <w:rsid w:val="00DD60D7"/>
    <w:rsid w:val="00DD7F92"/>
    <w:rsid w:val="00DE7562"/>
    <w:rsid w:val="00DF11A7"/>
    <w:rsid w:val="00DF446E"/>
    <w:rsid w:val="00DF66BB"/>
    <w:rsid w:val="00E02610"/>
    <w:rsid w:val="00E0434C"/>
    <w:rsid w:val="00E16FD5"/>
    <w:rsid w:val="00E214FC"/>
    <w:rsid w:val="00E271CB"/>
    <w:rsid w:val="00E273C6"/>
    <w:rsid w:val="00E34FE3"/>
    <w:rsid w:val="00E4654B"/>
    <w:rsid w:val="00E50F7D"/>
    <w:rsid w:val="00E55D6C"/>
    <w:rsid w:val="00E57396"/>
    <w:rsid w:val="00E70D8A"/>
    <w:rsid w:val="00E81A1B"/>
    <w:rsid w:val="00E81A86"/>
    <w:rsid w:val="00E83773"/>
    <w:rsid w:val="00E8607B"/>
    <w:rsid w:val="00E91073"/>
    <w:rsid w:val="00E93583"/>
    <w:rsid w:val="00E958D1"/>
    <w:rsid w:val="00EA13F1"/>
    <w:rsid w:val="00EA2F86"/>
    <w:rsid w:val="00EA6D39"/>
    <w:rsid w:val="00EB1D97"/>
    <w:rsid w:val="00EB24C7"/>
    <w:rsid w:val="00EB2CB9"/>
    <w:rsid w:val="00EB518B"/>
    <w:rsid w:val="00EC7101"/>
    <w:rsid w:val="00ED3D04"/>
    <w:rsid w:val="00EE148F"/>
    <w:rsid w:val="00EE202A"/>
    <w:rsid w:val="00EF08F6"/>
    <w:rsid w:val="00EF4C53"/>
    <w:rsid w:val="00EF79D6"/>
    <w:rsid w:val="00EF7ED9"/>
    <w:rsid w:val="00F006F1"/>
    <w:rsid w:val="00F033C2"/>
    <w:rsid w:val="00F07B7B"/>
    <w:rsid w:val="00F157E6"/>
    <w:rsid w:val="00F23B95"/>
    <w:rsid w:val="00F27EEE"/>
    <w:rsid w:val="00F40388"/>
    <w:rsid w:val="00F45C47"/>
    <w:rsid w:val="00F52DBE"/>
    <w:rsid w:val="00F63389"/>
    <w:rsid w:val="00F71AFA"/>
    <w:rsid w:val="00F7461D"/>
    <w:rsid w:val="00F8613D"/>
    <w:rsid w:val="00F8747E"/>
    <w:rsid w:val="00F91977"/>
    <w:rsid w:val="00F97B57"/>
    <w:rsid w:val="00FA4F7C"/>
    <w:rsid w:val="00FA5CE3"/>
    <w:rsid w:val="00FA6B20"/>
    <w:rsid w:val="00FB0456"/>
    <w:rsid w:val="00FB358E"/>
    <w:rsid w:val="00FB47F4"/>
    <w:rsid w:val="00FC6CB5"/>
    <w:rsid w:val="00FD2B12"/>
    <w:rsid w:val="00FD2B9F"/>
    <w:rsid w:val="00FD57FB"/>
    <w:rsid w:val="00FE1E41"/>
    <w:rsid w:val="00FE566D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05EF"/>
  <w15:docId w15:val="{B96692CE-F459-427B-A8B6-DE42274A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FontStyle20">
    <w:name w:val="Font Style20"/>
    <w:uiPriority w:val="99"/>
    <w:rsid w:val="001F25EB"/>
    <w:rPr>
      <w:rFonts w:ascii="Times New Roman" w:hAnsi="Times New Roman" w:cs="Times New Roman"/>
      <w:sz w:val="22"/>
      <w:szCs w:val="22"/>
    </w:rPr>
  </w:style>
  <w:style w:type="character" w:styleId="afa">
    <w:name w:val="Strong"/>
    <w:qFormat/>
    <w:rsid w:val="00FE1E41"/>
    <w:rPr>
      <w:b/>
      <w:bCs/>
    </w:rPr>
  </w:style>
  <w:style w:type="paragraph" w:customStyle="1" w:styleId="Style5">
    <w:name w:val="Style5"/>
    <w:basedOn w:val="a"/>
    <w:uiPriority w:val="99"/>
    <w:rsid w:val="00F157E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2A2913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2A2913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afd">
    <w:name w:val="Нижний колонтитул?/|."/>
    <w:basedOn w:val="a"/>
    <w:rsid w:val="00822B0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A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drpharma@vsn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rpharma@vsn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5645-ECE3-4F44-AB23-EDEBD9F8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5027</Words>
  <Characters>28654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33614</CharactersWithSpaces>
  <SharedDoc>false</SharedDoc>
  <HLinks>
    <vt:vector size="12" baseType="variant"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mailto:Pharmacovigilance.KZ@astellas.com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16</cp:revision>
  <cp:lastPrinted>2020-03-05T09:44:00Z</cp:lastPrinted>
  <dcterms:created xsi:type="dcterms:W3CDTF">2022-11-04T13:12:00Z</dcterms:created>
  <dcterms:modified xsi:type="dcterms:W3CDTF">2025-07-25T05:53:00Z</dcterms:modified>
</cp:coreProperties>
</file>